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ED4277" w:rsidRPr="009E51FC" w:rsidRDefault="00ED4277" w:rsidP="004A6D2F"/>
    <w:tbl>
      <w:tblPr>
        <w:tblW w:w="0" w:type="auto"/>
        <w:tblInd w:w="108" w:type="dxa"/>
        <w:tblLayout w:type="fixed"/>
        <w:tblLook w:val="04A0" w:firstRow="1" w:lastRow="0" w:firstColumn="1" w:lastColumn="0" w:noHBand="0" w:noVBand="1"/>
      </w:tblPr>
      <w:tblGrid>
        <w:gridCol w:w="426"/>
        <w:gridCol w:w="1984"/>
        <w:gridCol w:w="28"/>
        <w:gridCol w:w="6406"/>
        <w:gridCol w:w="512"/>
      </w:tblGrid>
      <w:tr w:rsidR="00CE544A" w:rsidRPr="00975B07" w:rsidTr="00867E18">
        <w:trPr>
          <w:gridAfter w:val="1"/>
          <w:wAfter w:w="512"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67E18" w:rsidP="00471319">
            <w:pPr>
              <w:rPr>
                <w:rStyle w:val="Firstpagetablebold"/>
              </w:rPr>
            </w:pPr>
            <w:r w:rsidRPr="008A3C6C">
              <w:rPr>
                <w:rFonts w:cs="Arial"/>
                <w:b/>
                <w:bCs/>
              </w:rPr>
              <w:t>Licensing and Gambling Acts Committee</w:t>
            </w:r>
            <w:r w:rsidRPr="008A3C6C">
              <w:rPr>
                <w:rFonts w:cs="Arial"/>
                <w:b/>
                <w:bCs/>
              </w:rPr>
              <w:tab/>
            </w:r>
          </w:p>
        </w:tc>
      </w:tr>
      <w:tr w:rsidR="00CE544A" w:rsidRPr="00975B07" w:rsidTr="00867E18">
        <w:trPr>
          <w:gridAfter w:val="1"/>
          <w:wAfter w:w="512" w:type="dxa"/>
        </w:trPr>
        <w:tc>
          <w:tcPr>
            <w:tcW w:w="2438" w:type="dxa"/>
            <w:gridSpan w:val="3"/>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6F0B19" w:rsidRDefault="006F0B19" w:rsidP="008C65C1">
            <w:pPr>
              <w:rPr>
                <w:rFonts w:cs="Arial"/>
                <w:b/>
                <w:bCs/>
              </w:rPr>
            </w:pPr>
          </w:p>
          <w:p w:rsidR="00F445B1" w:rsidRPr="001356F1" w:rsidRDefault="001D7B9D" w:rsidP="00690401">
            <w:pPr>
              <w:rPr>
                <w:b/>
              </w:rPr>
            </w:pPr>
            <w:r>
              <w:rPr>
                <w:rFonts w:cs="Arial"/>
                <w:b/>
                <w:bCs/>
              </w:rPr>
              <w:t>2</w:t>
            </w:r>
            <w:r>
              <w:rPr>
                <w:rFonts w:cs="Arial"/>
                <w:b/>
                <w:bCs/>
                <w:vertAlign w:val="superscript"/>
              </w:rPr>
              <w:t>nd</w:t>
            </w:r>
            <w:r w:rsidR="008C65C1" w:rsidRPr="008C65C1">
              <w:rPr>
                <w:rFonts w:cs="Arial"/>
                <w:b/>
                <w:bCs/>
              </w:rPr>
              <w:t xml:space="preserve"> </w:t>
            </w:r>
            <w:r>
              <w:rPr>
                <w:rFonts w:cs="Arial"/>
                <w:b/>
                <w:bCs/>
              </w:rPr>
              <w:t>Ju</w:t>
            </w:r>
            <w:r w:rsidR="00690401">
              <w:rPr>
                <w:rFonts w:cs="Arial"/>
                <w:b/>
                <w:bCs/>
              </w:rPr>
              <w:t>ly</w:t>
            </w:r>
            <w:r>
              <w:rPr>
                <w:rFonts w:cs="Arial"/>
                <w:b/>
                <w:bCs/>
              </w:rPr>
              <w:t xml:space="preserve"> 2018</w:t>
            </w:r>
            <w:r w:rsidR="00867E18">
              <w:rPr>
                <w:rFonts w:cs="Arial"/>
                <w:b/>
                <w:bCs/>
              </w:rPr>
              <w:t xml:space="preserve">  </w:t>
            </w:r>
          </w:p>
        </w:tc>
      </w:tr>
      <w:tr w:rsidR="00CE544A" w:rsidRPr="00975B07" w:rsidTr="00867E18">
        <w:trPr>
          <w:gridAfter w:val="1"/>
          <w:wAfter w:w="512" w:type="dxa"/>
        </w:trPr>
        <w:tc>
          <w:tcPr>
            <w:tcW w:w="2438" w:type="dxa"/>
            <w:gridSpan w:val="3"/>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6F0B19" w:rsidRDefault="006F0B19" w:rsidP="004A6D2F">
            <w:pPr>
              <w:rPr>
                <w:rFonts w:cs="Arial"/>
                <w:b/>
                <w:bCs/>
              </w:rPr>
            </w:pPr>
          </w:p>
          <w:p w:rsidR="00F445B1" w:rsidRPr="001356F1" w:rsidRDefault="00867E18" w:rsidP="004A6D2F">
            <w:pPr>
              <w:rPr>
                <w:rStyle w:val="Firstpagetablebold"/>
              </w:rPr>
            </w:pPr>
            <w:r w:rsidRPr="000E4E60">
              <w:rPr>
                <w:rFonts w:cs="Arial"/>
                <w:b/>
                <w:bCs/>
              </w:rPr>
              <w:t>Head of Community Services</w:t>
            </w:r>
          </w:p>
        </w:tc>
      </w:tr>
      <w:tr w:rsidR="00CE544A" w:rsidRPr="00975B07" w:rsidTr="00867E18">
        <w:trPr>
          <w:gridAfter w:val="1"/>
          <w:wAfter w:w="512" w:type="dxa"/>
        </w:trPr>
        <w:tc>
          <w:tcPr>
            <w:tcW w:w="2438" w:type="dxa"/>
            <w:gridSpan w:val="3"/>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9C6F52" w:rsidRDefault="009C6F52" w:rsidP="00B92730">
            <w:pPr>
              <w:tabs>
                <w:tab w:val="left" w:pos="2160"/>
              </w:tabs>
              <w:rPr>
                <w:rFonts w:cs="Arial"/>
                <w:b/>
                <w:bCs/>
              </w:rPr>
            </w:pPr>
          </w:p>
          <w:p w:rsidR="009C6F52" w:rsidRDefault="001664C3" w:rsidP="001664C3">
            <w:pPr>
              <w:tabs>
                <w:tab w:val="left" w:pos="2160"/>
              </w:tabs>
              <w:ind w:left="2160" w:hanging="2160"/>
              <w:rPr>
                <w:rFonts w:cs="Arial"/>
                <w:b/>
              </w:rPr>
            </w:pPr>
            <w:r>
              <w:rPr>
                <w:rFonts w:cs="Arial"/>
                <w:b/>
              </w:rPr>
              <w:t>Statement of Gambling Licensing Policy</w:t>
            </w:r>
          </w:p>
          <w:p w:rsidR="000A71B6" w:rsidRPr="009C6F52" w:rsidRDefault="000A71B6" w:rsidP="001664C3">
            <w:pPr>
              <w:tabs>
                <w:tab w:val="left" w:pos="2160"/>
              </w:tabs>
              <w:ind w:left="2160" w:hanging="2160"/>
              <w:rPr>
                <w:rStyle w:val="Firstpagetablebold"/>
                <w:rFonts w:cs="Arial"/>
                <w:bCs/>
                <w:caps/>
                <w:u w:val="single"/>
              </w:rPr>
            </w:pPr>
          </w:p>
        </w:tc>
      </w:tr>
      <w:tr w:rsidR="00D5547E"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356" w:type="dxa"/>
            <w:gridSpan w:val="5"/>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9F6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9"/>
        </w:trPr>
        <w:tc>
          <w:tcPr>
            <w:tcW w:w="2410" w:type="dxa"/>
            <w:gridSpan w:val="2"/>
            <w:tcBorders>
              <w:top w:val="single" w:sz="4" w:space="0" w:color="auto"/>
              <w:left w:val="single" w:sz="4" w:space="0" w:color="auto"/>
              <w:bottom w:val="nil"/>
              <w:right w:val="nil"/>
            </w:tcBorders>
            <w:hideMark/>
          </w:tcPr>
          <w:p w:rsidR="0008030A" w:rsidRDefault="0008030A">
            <w:pPr>
              <w:rPr>
                <w:rStyle w:val="Firstpagetablebold"/>
              </w:rPr>
            </w:pPr>
          </w:p>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946" w:type="dxa"/>
            <w:gridSpan w:val="3"/>
            <w:tcBorders>
              <w:top w:val="single" w:sz="4" w:space="0" w:color="auto"/>
              <w:left w:val="nil"/>
              <w:bottom w:val="nil"/>
              <w:right w:val="single" w:sz="4" w:space="0" w:color="auto"/>
            </w:tcBorders>
            <w:hideMark/>
          </w:tcPr>
          <w:p w:rsidR="0008030A" w:rsidRDefault="0008030A" w:rsidP="00F216A7">
            <w:pPr>
              <w:rPr>
                <w:rFonts w:cs="Arial"/>
              </w:rPr>
            </w:pPr>
          </w:p>
          <w:p w:rsidR="00471319" w:rsidRPr="001356F1" w:rsidRDefault="001664C3" w:rsidP="00C60FBE">
            <w:r w:rsidRPr="00834DE3">
              <w:t xml:space="preserve">To agree </w:t>
            </w:r>
            <w:r>
              <w:t>the draft</w:t>
            </w:r>
            <w:r w:rsidRPr="00834DE3">
              <w:t xml:space="preserve"> Statement of </w:t>
            </w:r>
            <w:r>
              <w:t xml:space="preserve">Gambling </w:t>
            </w:r>
            <w:r w:rsidRPr="00834DE3">
              <w:t>Licensing Policy for consultation</w:t>
            </w:r>
          </w:p>
        </w:tc>
      </w:tr>
      <w:tr w:rsidR="00471319" w:rsidTr="009F6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2410" w:type="dxa"/>
            <w:gridSpan w:val="2"/>
            <w:tcBorders>
              <w:top w:val="nil"/>
              <w:left w:val="single" w:sz="4" w:space="0" w:color="auto"/>
              <w:bottom w:val="nil"/>
              <w:right w:val="nil"/>
            </w:tcBorders>
          </w:tcPr>
          <w:p w:rsidR="00B8247D" w:rsidRDefault="00B8247D">
            <w:pPr>
              <w:rPr>
                <w:rStyle w:val="Firstpagetablebold"/>
              </w:rPr>
            </w:pPr>
          </w:p>
          <w:p w:rsidR="00471319" w:rsidRDefault="00471319">
            <w:pPr>
              <w:rPr>
                <w:rStyle w:val="Firstpagetablebold"/>
              </w:rPr>
            </w:pPr>
            <w:r>
              <w:rPr>
                <w:rStyle w:val="Firstpagetablebold"/>
              </w:rPr>
              <w:t>Corporate Priority</w:t>
            </w:r>
          </w:p>
        </w:tc>
        <w:tc>
          <w:tcPr>
            <w:tcW w:w="6946" w:type="dxa"/>
            <w:gridSpan w:val="3"/>
            <w:tcBorders>
              <w:top w:val="nil"/>
              <w:left w:val="nil"/>
              <w:bottom w:val="nil"/>
              <w:right w:val="single" w:sz="4" w:space="0" w:color="auto"/>
            </w:tcBorders>
          </w:tcPr>
          <w:p w:rsidR="00B8247D" w:rsidRDefault="00B8247D" w:rsidP="000F4751"/>
          <w:p w:rsidR="00D57F03" w:rsidRPr="001356F1" w:rsidRDefault="00AD64C2" w:rsidP="003642AB">
            <w:r>
              <w:t>Strong and Active Communities</w:t>
            </w:r>
          </w:p>
        </w:tc>
      </w:tr>
      <w:tr w:rsidR="00D57F03" w:rsidTr="009F6D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2410" w:type="dxa"/>
            <w:gridSpan w:val="2"/>
            <w:tcBorders>
              <w:top w:val="nil"/>
              <w:left w:val="single" w:sz="4" w:space="0" w:color="auto"/>
              <w:bottom w:val="nil"/>
              <w:right w:val="nil"/>
            </w:tcBorders>
          </w:tcPr>
          <w:p w:rsidR="00B8247D" w:rsidRDefault="00B8247D">
            <w:pPr>
              <w:rPr>
                <w:rStyle w:val="Firstpagetablebold"/>
              </w:rPr>
            </w:pPr>
          </w:p>
          <w:p w:rsidR="00D57F03" w:rsidRDefault="00D57F03">
            <w:pPr>
              <w:rPr>
                <w:rStyle w:val="Firstpagetablebold"/>
              </w:rPr>
            </w:pPr>
            <w:r>
              <w:rPr>
                <w:rStyle w:val="Firstpagetablebold"/>
              </w:rPr>
              <w:t>Policy Framework</w:t>
            </w:r>
          </w:p>
        </w:tc>
        <w:tc>
          <w:tcPr>
            <w:tcW w:w="6946" w:type="dxa"/>
            <w:gridSpan w:val="3"/>
            <w:tcBorders>
              <w:top w:val="nil"/>
              <w:left w:val="nil"/>
              <w:bottom w:val="nil"/>
              <w:right w:val="single" w:sz="4" w:space="0" w:color="auto"/>
            </w:tcBorders>
          </w:tcPr>
          <w:p w:rsidR="00B8247D" w:rsidRDefault="00B8247D" w:rsidP="00D57F03">
            <w:pPr>
              <w:rPr>
                <w:rFonts w:cs="Arial"/>
                <w:b/>
                <w:bCs/>
              </w:rPr>
            </w:pPr>
          </w:p>
          <w:p w:rsidR="00D57F03" w:rsidRDefault="005E41E8" w:rsidP="00D57F03">
            <w:r w:rsidRPr="008A3C6C">
              <w:rPr>
                <w:rFonts w:cs="Arial"/>
                <w:b/>
                <w:bCs/>
              </w:rPr>
              <w:t>Statement of</w:t>
            </w:r>
            <w:r w:rsidR="00C60FBE">
              <w:rPr>
                <w:rFonts w:cs="Arial"/>
                <w:b/>
                <w:bCs/>
              </w:rPr>
              <w:t xml:space="preserve"> Gambling</w:t>
            </w:r>
            <w:r w:rsidRPr="008A3C6C">
              <w:rPr>
                <w:rFonts w:cs="Arial"/>
                <w:b/>
                <w:bCs/>
              </w:rPr>
              <w:t xml:space="preserve"> Licensing Policy</w:t>
            </w:r>
          </w:p>
        </w:tc>
      </w:tr>
      <w:tr w:rsidR="005F7F7E" w:rsidRPr="00975B07"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356" w:type="dxa"/>
            <w:gridSpan w:val="5"/>
            <w:tcBorders>
              <w:bottom w:val="single" w:sz="8" w:space="0" w:color="000000"/>
            </w:tcBorders>
          </w:tcPr>
          <w:p w:rsidR="0008030A" w:rsidRDefault="0008030A" w:rsidP="005E41E8">
            <w:pPr>
              <w:rPr>
                <w:rStyle w:val="Firstpagetablebold"/>
              </w:rPr>
            </w:pPr>
          </w:p>
          <w:p w:rsidR="005F7F7E" w:rsidRPr="00975B07" w:rsidRDefault="000B21A8" w:rsidP="005E41E8">
            <w:r>
              <w:rPr>
                <w:rStyle w:val="Firstpagetablebold"/>
              </w:rPr>
              <w:t>Recommendations</w:t>
            </w:r>
            <w:r w:rsidR="005F7F7E">
              <w:rPr>
                <w:rStyle w:val="Firstpagetablebold"/>
              </w:rPr>
              <w:t>:</w:t>
            </w:r>
            <w:r w:rsidR="00E62877">
              <w:rPr>
                <w:rStyle w:val="Firstpagetablebold"/>
              </w:rPr>
              <w:t xml:space="preserve"> </w:t>
            </w:r>
            <w:r w:rsidR="00E62877">
              <w:rPr>
                <w:rFonts w:cs="Arial"/>
              </w:rPr>
              <w:t>That t</w:t>
            </w:r>
            <w:r w:rsidR="00E62877" w:rsidRPr="008711FA">
              <w:rPr>
                <w:rFonts w:cs="Arial"/>
              </w:rPr>
              <w:t>he</w:t>
            </w:r>
            <w:r w:rsidR="00E62877">
              <w:rPr>
                <w:rFonts w:cs="Arial"/>
              </w:rPr>
              <w:t xml:space="preserve"> Licensing and Gambling Acts </w:t>
            </w:r>
            <w:r w:rsidR="00E62877" w:rsidRPr="008711FA">
              <w:rPr>
                <w:rFonts w:cs="Arial"/>
              </w:rPr>
              <w:t>Committee is</w:t>
            </w:r>
            <w:r w:rsidR="00E62877">
              <w:rPr>
                <w:rFonts w:cs="Arial"/>
              </w:rPr>
              <w:t xml:space="preserve"> </w:t>
            </w:r>
            <w:r w:rsidR="00E62877" w:rsidRPr="008711FA">
              <w:rPr>
                <w:rFonts w:cs="Arial"/>
              </w:rPr>
              <w:t>recommended to</w:t>
            </w:r>
            <w:r w:rsidR="00E62877">
              <w:rPr>
                <w:rFonts w:cs="Arial"/>
              </w:rPr>
              <w:t>:</w:t>
            </w:r>
          </w:p>
        </w:tc>
      </w:tr>
      <w:tr w:rsidR="0030208D" w:rsidRPr="00975B07" w:rsidTr="00F651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426" w:type="dxa"/>
            <w:tcBorders>
              <w:top w:val="single" w:sz="8" w:space="0" w:color="000000"/>
              <w:left w:val="single" w:sz="8" w:space="0" w:color="000000"/>
              <w:bottom w:val="nil"/>
              <w:right w:val="nil"/>
            </w:tcBorders>
          </w:tcPr>
          <w:p w:rsidR="0030208D" w:rsidRDefault="0030208D" w:rsidP="004A6D2F"/>
          <w:p w:rsidR="001664C3" w:rsidRPr="00975B07" w:rsidRDefault="001664C3" w:rsidP="004A6D2F"/>
        </w:tc>
        <w:tc>
          <w:tcPr>
            <w:tcW w:w="8930" w:type="dxa"/>
            <w:gridSpan w:val="4"/>
            <w:tcBorders>
              <w:top w:val="single" w:sz="8" w:space="0" w:color="000000"/>
              <w:left w:val="nil"/>
              <w:bottom w:val="nil"/>
              <w:right w:val="single" w:sz="8" w:space="0" w:color="000000"/>
            </w:tcBorders>
            <w:shd w:val="clear" w:color="auto" w:fill="auto"/>
          </w:tcPr>
          <w:p w:rsidR="0030208D" w:rsidRDefault="0030208D" w:rsidP="002069B3"/>
          <w:p w:rsidR="00C60FBE" w:rsidRDefault="00C60FBE" w:rsidP="00C60FBE">
            <w:pPr>
              <w:numPr>
                <w:ilvl w:val="0"/>
                <w:numId w:val="6"/>
              </w:numPr>
            </w:pPr>
            <w:r>
              <w:t>Agree the draft Statement of Gambling Licensing Policy</w:t>
            </w:r>
          </w:p>
          <w:p w:rsidR="00C60FBE" w:rsidRDefault="00C60FBE" w:rsidP="00C60FBE">
            <w:pPr>
              <w:ind w:left="360"/>
            </w:pPr>
          </w:p>
          <w:p w:rsidR="001D7B9D" w:rsidRDefault="00C60FBE" w:rsidP="00C60FBE">
            <w:pPr>
              <w:numPr>
                <w:ilvl w:val="0"/>
                <w:numId w:val="6"/>
              </w:numPr>
            </w:pPr>
            <w:r>
              <w:t>Agree that a 6</w:t>
            </w:r>
            <w:r w:rsidR="001D7B9D" w:rsidRPr="005E0BF4">
              <w:t xml:space="preserve"> week consultation be held on the </w:t>
            </w:r>
            <w:r>
              <w:t>agreed</w:t>
            </w:r>
            <w:r w:rsidR="001D7B9D" w:rsidRPr="005E0BF4">
              <w:t xml:space="preserve"> draft Statemen</w:t>
            </w:r>
            <w:r>
              <w:t>t of Gambling Licensing Policy</w:t>
            </w:r>
          </w:p>
          <w:p w:rsidR="00C60FBE" w:rsidRPr="005E0BF4" w:rsidRDefault="00C60FBE" w:rsidP="00C60FBE">
            <w:pPr>
              <w:pStyle w:val="ListParagraph"/>
              <w:numPr>
                <w:ilvl w:val="0"/>
                <w:numId w:val="0"/>
              </w:numPr>
              <w:ind w:left="360"/>
            </w:pPr>
          </w:p>
          <w:p w:rsidR="001D7B9D" w:rsidRPr="001D7B9D" w:rsidRDefault="00C60FBE" w:rsidP="00C60FBE">
            <w:pPr>
              <w:numPr>
                <w:ilvl w:val="0"/>
                <w:numId w:val="6"/>
              </w:numPr>
              <w:rPr>
                <w:b/>
              </w:rPr>
            </w:pPr>
            <w:r w:rsidRPr="00C60FBE">
              <w:t>Agree</w:t>
            </w:r>
            <w:r>
              <w:rPr>
                <w:b/>
              </w:rPr>
              <w:t xml:space="preserve"> </w:t>
            </w:r>
            <w:r>
              <w:t>that any relevant responses to the consultation be reported to the next meeting of the Committee.</w:t>
            </w:r>
          </w:p>
        </w:tc>
      </w:tr>
      <w:tr w:rsidR="00232F5B" w:rsidRPr="00975B07" w:rsidTr="00BA44E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7"/>
        </w:trPr>
        <w:tc>
          <w:tcPr>
            <w:tcW w:w="426" w:type="dxa"/>
            <w:tcBorders>
              <w:top w:val="nil"/>
              <w:left w:val="single" w:sz="8" w:space="0" w:color="000000"/>
              <w:bottom w:val="single" w:sz="8" w:space="0" w:color="000000"/>
              <w:right w:val="nil"/>
            </w:tcBorders>
          </w:tcPr>
          <w:p w:rsidR="0030208D" w:rsidRPr="00975B07" w:rsidRDefault="0030208D" w:rsidP="004A6D2F"/>
        </w:tc>
        <w:tc>
          <w:tcPr>
            <w:tcW w:w="8930" w:type="dxa"/>
            <w:gridSpan w:val="4"/>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44BAE">
        <w:tc>
          <w:tcPr>
            <w:tcW w:w="2438" w:type="dxa"/>
            <w:tcBorders>
              <w:top w:val="single" w:sz="8" w:space="0" w:color="000000"/>
              <w:left w:val="single" w:sz="8" w:space="0" w:color="000000"/>
              <w:bottom w:val="nil"/>
              <w:right w:val="nil"/>
            </w:tcBorders>
            <w:shd w:val="clear" w:color="auto" w:fill="auto"/>
          </w:tcPr>
          <w:p w:rsidR="00ED5860" w:rsidRDefault="00ED5860" w:rsidP="004A6D2F"/>
          <w:p w:rsidR="00D53423" w:rsidRDefault="00D53423" w:rsidP="00D53423">
            <w:pPr>
              <w:jc w:val="center"/>
              <w:rPr>
                <w:b/>
              </w:rPr>
            </w:pPr>
            <w:r>
              <w:rPr>
                <w:b/>
              </w:rPr>
              <w:t xml:space="preserve">   </w:t>
            </w:r>
            <w:r w:rsidR="00A01DCD" w:rsidRPr="00A01DCD">
              <w:rPr>
                <w:b/>
              </w:rPr>
              <w:t>Appendix One:</w:t>
            </w:r>
          </w:p>
          <w:p w:rsidR="00D53423" w:rsidRDefault="00D53423" w:rsidP="00D53423">
            <w:pPr>
              <w:jc w:val="center"/>
              <w:rPr>
                <w:b/>
              </w:rPr>
            </w:pPr>
            <w:r>
              <w:rPr>
                <w:b/>
              </w:rPr>
              <w:t xml:space="preserve">   Appendix Two:</w:t>
            </w:r>
          </w:p>
          <w:p w:rsidR="00A01DCD" w:rsidRPr="00A01DCD" w:rsidRDefault="00D53423" w:rsidP="00A01DCD">
            <w:pPr>
              <w:jc w:val="right"/>
              <w:rPr>
                <w:b/>
              </w:rPr>
            </w:pPr>
            <w:r>
              <w:rPr>
                <w:b/>
              </w:rPr>
              <w:t>Appendix Three:</w:t>
            </w:r>
            <w:r w:rsidR="00A01DCD" w:rsidRPr="00A01DCD">
              <w:rPr>
                <w:b/>
              </w:rPr>
              <w:t xml:space="preserve">     </w:t>
            </w:r>
          </w:p>
        </w:tc>
        <w:tc>
          <w:tcPr>
            <w:tcW w:w="6918" w:type="dxa"/>
            <w:tcBorders>
              <w:top w:val="single" w:sz="8" w:space="0" w:color="000000"/>
              <w:left w:val="nil"/>
              <w:bottom w:val="nil"/>
              <w:right w:val="single" w:sz="8" w:space="0" w:color="000000"/>
            </w:tcBorders>
          </w:tcPr>
          <w:p w:rsidR="00ED5860" w:rsidRDefault="00ED5860" w:rsidP="004A6D2F"/>
          <w:p w:rsidR="00A01DCD" w:rsidRDefault="00A01DCD" w:rsidP="00A01DCD">
            <w:r>
              <w:t>Draft Statement of Gambling Licensing Policy</w:t>
            </w:r>
          </w:p>
          <w:p w:rsidR="00BA39BA" w:rsidRPr="00BA0C11" w:rsidRDefault="00BA39BA" w:rsidP="00BA39BA">
            <w:pPr>
              <w:ind w:left="360" w:hanging="360"/>
            </w:pPr>
            <w:r>
              <w:t>Provisions 10.1.1 &amp; 10.1.2: Assessing Local Risk</w:t>
            </w:r>
          </w:p>
          <w:p w:rsidR="00D53423" w:rsidRPr="001356F1" w:rsidRDefault="00BA39BA" w:rsidP="00A01DCD">
            <w:r>
              <w:t>Oxford City Council Local Area Profile</w:t>
            </w:r>
            <w:r w:rsidR="00FF5509">
              <w:t xml:space="preserve"> (not available at this time).</w:t>
            </w:r>
            <w:bookmarkStart w:id="0" w:name="_GoBack"/>
            <w:bookmarkEnd w:id="0"/>
          </w:p>
        </w:tc>
      </w:tr>
      <w:tr w:rsidR="0030208D" w:rsidRPr="00975B07" w:rsidTr="00C44BAE">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918" w:type="dxa"/>
            <w:tcBorders>
              <w:top w:val="nil"/>
              <w:left w:val="nil"/>
              <w:bottom w:val="single" w:sz="8" w:space="0" w:color="000000"/>
              <w:right w:val="single" w:sz="8" w:space="0" w:color="000000"/>
            </w:tcBorders>
          </w:tcPr>
          <w:p w:rsidR="0030208D" w:rsidRPr="001356F1" w:rsidRDefault="0030208D" w:rsidP="004A6D2F"/>
        </w:tc>
      </w:tr>
    </w:tbl>
    <w:p w:rsidR="00AF40ED" w:rsidRDefault="00AF40ED" w:rsidP="009F6DEA">
      <w:pPr>
        <w:pStyle w:val="Heading1"/>
        <w:spacing w:after="120"/>
      </w:pPr>
    </w:p>
    <w:p w:rsidR="00AF40ED" w:rsidRDefault="00AF40ED" w:rsidP="009F6DEA">
      <w:pPr>
        <w:pStyle w:val="Heading1"/>
        <w:spacing w:after="120"/>
      </w:pPr>
    </w:p>
    <w:p w:rsidR="00AF40ED" w:rsidRPr="00AF40ED" w:rsidRDefault="00AF40ED" w:rsidP="00AF40ED"/>
    <w:p w:rsidR="00C25DA5" w:rsidRDefault="00C25DA5" w:rsidP="009F6DEA">
      <w:pPr>
        <w:pStyle w:val="Heading1"/>
        <w:spacing w:after="120"/>
      </w:pPr>
    </w:p>
    <w:p w:rsidR="00C25DA5" w:rsidRDefault="00C25DA5" w:rsidP="009F6DEA">
      <w:pPr>
        <w:pStyle w:val="Heading1"/>
        <w:spacing w:after="120"/>
      </w:pPr>
    </w:p>
    <w:p w:rsidR="0040736F" w:rsidRDefault="00F66DCA" w:rsidP="009F6DEA">
      <w:pPr>
        <w:pStyle w:val="Heading1"/>
        <w:spacing w:after="120"/>
      </w:pPr>
      <w:r w:rsidRPr="001356F1">
        <w:t xml:space="preserve">Introduction </w:t>
      </w:r>
    </w:p>
    <w:p w:rsidR="006335AC" w:rsidRDefault="006335AC" w:rsidP="006335AC"/>
    <w:p w:rsidR="006335AC" w:rsidRDefault="006335AC" w:rsidP="0054168D">
      <w:pPr>
        <w:numPr>
          <w:ilvl w:val="0"/>
          <w:numId w:val="8"/>
        </w:numPr>
        <w:tabs>
          <w:tab w:val="clear" w:pos="360"/>
          <w:tab w:val="num" w:pos="720"/>
          <w:tab w:val="left" w:pos="1440"/>
        </w:tabs>
        <w:ind w:left="720" w:hanging="720"/>
      </w:pPr>
      <w:r>
        <w:t xml:space="preserve">The Committee is reminded that all Licensing Authorities have adopted a Statement of Gambling Licensing Policy.  This Statement must promote the three licensing objectives of the </w:t>
      </w:r>
      <w:r>
        <w:rPr>
          <w:szCs w:val="19"/>
        </w:rPr>
        <w:t xml:space="preserve">Gambling Act 2005 (the </w:t>
      </w:r>
      <w:r>
        <w:t xml:space="preserve">2005 Act), which are: </w:t>
      </w:r>
    </w:p>
    <w:p w:rsidR="006335AC" w:rsidRPr="00F17E65" w:rsidRDefault="006335AC" w:rsidP="006335AC">
      <w:pPr>
        <w:numPr>
          <w:ilvl w:val="12"/>
          <w:numId w:val="0"/>
        </w:numPr>
        <w:tabs>
          <w:tab w:val="num" w:pos="720"/>
          <w:tab w:val="left" w:pos="1440"/>
        </w:tabs>
        <w:ind w:left="720" w:hanging="720"/>
        <w:rPr>
          <w:sz w:val="12"/>
          <w:szCs w:val="12"/>
        </w:rPr>
      </w:pPr>
    </w:p>
    <w:p w:rsidR="006335AC" w:rsidRPr="00F17E65" w:rsidRDefault="006335AC" w:rsidP="0054168D">
      <w:pPr>
        <w:numPr>
          <w:ilvl w:val="0"/>
          <w:numId w:val="7"/>
        </w:numPr>
        <w:tabs>
          <w:tab w:val="num" w:pos="1080"/>
          <w:tab w:val="left" w:pos="1440"/>
        </w:tabs>
        <w:ind w:left="1080"/>
        <w:rPr>
          <w:i/>
        </w:rPr>
      </w:pPr>
      <w:r w:rsidRPr="00F17E65">
        <w:rPr>
          <w:i/>
        </w:rPr>
        <w:t>Preventing gambling from being a source of crime and disorder</w:t>
      </w:r>
    </w:p>
    <w:p w:rsidR="006335AC" w:rsidRPr="00F17E65" w:rsidRDefault="006335AC" w:rsidP="006335AC">
      <w:pPr>
        <w:tabs>
          <w:tab w:val="left" w:pos="1440"/>
        </w:tabs>
        <w:ind w:left="720"/>
        <w:rPr>
          <w:i/>
          <w:sz w:val="8"/>
          <w:szCs w:val="8"/>
        </w:rPr>
      </w:pPr>
    </w:p>
    <w:p w:rsidR="006335AC" w:rsidRPr="00F17E65" w:rsidRDefault="006335AC" w:rsidP="0054168D">
      <w:pPr>
        <w:numPr>
          <w:ilvl w:val="0"/>
          <w:numId w:val="7"/>
        </w:numPr>
        <w:tabs>
          <w:tab w:val="num" w:pos="1080"/>
          <w:tab w:val="left" w:pos="1440"/>
        </w:tabs>
        <w:ind w:left="1080"/>
        <w:rPr>
          <w:i/>
        </w:rPr>
      </w:pPr>
      <w:r w:rsidRPr="00F17E65">
        <w:rPr>
          <w:i/>
        </w:rPr>
        <w:t>Ensuring that gambling is conducted in a fair and open way</w:t>
      </w:r>
    </w:p>
    <w:p w:rsidR="006335AC" w:rsidRPr="00F17E65" w:rsidRDefault="006335AC" w:rsidP="006335AC">
      <w:pPr>
        <w:tabs>
          <w:tab w:val="left" w:pos="1440"/>
        </w:tabs>
        <w:rPr>
          <w:i/>
          <w:sz w:val="8"/>
          <w:szCs w:val="8"/>
        </w:rPr>
      </w:pPr>
    </w:p>
    <w:p w:rsidR="006335AC" w:rsidRPr="00F17E65" w:rsidRDefault="006335AC" w:rsidP="0054168D">
      <w:pPr>
        <w:numPr>
          <w:ilvl w:val="0"/>
          <w:numId w:val="7"/>
        </w:numPr>
        <w:tabs>
          <w:tab w:val="num" w:pos="1080"/>
        </w:tabs>
        <w:ind w:left="1080"/>
        <w:rPr>
          <w:i/>
        </w:rPr>
      </w:pPr>
      <w:r w:rsidRPr="00F17E65">
        <w:rPr>
          <w:i/>
        </w:rPr>
        <w:t>Protecting children and vulnerable persons from being harmed or exploited by gambling</w:t>
      </w:r>
    </w:p>
    <w:p w:rsidR="006335AC" w:rsidRDefault="006335AC" w:rsidP="006335AC"/>
    <w:p w:rsidR="006335AC" w:rsidRDefault="006335AC" w:rsidP="0054168D">
      <w:pPr>
        <w:numPr>
          <w:ilvl w:val="0"/>
          <w:numId w:val="8"/>
        </w:numPr>
        <w:tabs>
          <w:tab w:val="clear" w:pos="360"/>
          <w:tab w:val="num" w:pos="720"/>
        </w:tabs>
        <w:ind w:left="720" w:hanging="720"/>
        <w:rPr>
          <w:szCs w:val="19"/>
        </w:rPr>
      </w:pPr>
      <w:r w:rsidRPr="00B10E00">
        <w:rPr>
          <w:szCs w:val="19"/>
        </w:rPr>
        <w:t xml:space="preserve">The Council is obliged to determine and publish the "Statement of Gambling Licensing Policy" and to keep it under review, and to renew the Policy at least every three years. </w:t>
      </w:r>
      <w:r w:rsidRPr="00B10E00">
        <w:rPr>
          <w:rFonts w:eastAsia="MS Mincho" w:cs="Arial"/>
          <w:lang w:eastAsia="ja-JP"/>
        </w:rPr>
        <w:t>In preparing the Statement, Licensing Authorities must follow the procedure set out in the 2005 Act, including who should be consulted.  T</w:t>
      </w:r>
      <w:r>
        <w:rPr>
          <w:rFonts w:eastAsia="MS Mincho" w:cs="Arial"/>
          <w:lang w:eastAsia="ja-JP"/>
        </w:rPr>
        <w:t>he</w:t>
      </w:r>
      <w:r w:rsidRPr="00B10E00">
        <w:rPr>
          <w:szCs w:val="19"/>
        </w:rPr>
        <w:t xml:space="preserve"> Policy sets out how the Licensing Authority intends to exercise its functions under the 2005 Act.</w:t>
      </w:r>
    </w:p>
    <w:p w:rsidR="006335AC" w:rsidRPr="00B10E00" w:rsidRDefault="006335AC" w:rsidP="006335AC">
      <w:pPr>
        <w:ind w:left="720"/>
        <w:rPr>
          <w:szCs w:val="19"/>
        </w:rPr>
      </w:pPr>
    </w:p>
    <w:p w:rsidR="006335AC" w:rsidRPr="00EC26FE" w:rsidRDefault="006335AC" w:rsidP="0054168D">
      <w:pPr>
        <w:numPr>
          <w:ilvl w:val="0"/>
          <w:numId w:val="8"/>
        </w:numPr>
        <w:tabs>
          <w:tab w:val="clear" w:pos="360"/>
          <w:tab w:val="num" w:pos="709"/>
        </w:tabs>
        <w:autoSpaceDE w:val="0"/>
        <w:autoSpaceDN w:val="0"/>
        <w:adjustRightInd w:val="0"/>
        <w:ind w:left="709" w:hanging="709"/>
        <w:rPr>
          <w:rFonts w:cs="Arial"/>
        </w:rPr>
      </w:pPr>
      <w:r>
        <w:rPr>
          <w:rFonts w:eastAsia="MS Mincho" w:cs="Arial"/>
          <w:lang w:eastAsia="ja-JP"/>
        </w:rPr>
        <w:t>The first Policy was implemented on 31</w:t>
      </w:r>
      <w:r w:rsidRPr="005D7616">
        <w:rPr>
          <w:rFonts w:eastAsia="MS Mincho" w:cs="Arial"/>
          <w:vertAlign w:val="superscript"/>
          <w:lang w:eastAsia="ja-JP"/>
        </w:rPr>
        <w:t>st</w:t>
      </w:r>
      <w:r>
        <w:rPr>
          <w:rFonts w:eastAsia="MS Mincho" w:cs="Arial"/>
          <w:lang w:eastAsia="ja-JP"/>
        </w:rPr>
        <w:t xml:space="preserve"> January 2007, and with it being renewed every 3 years, t</w:t>
      </w:r>
      <w:r w:rsidRPr="00FD3266">
        <w:rPr>
          <w:rFonts w:eastAsia="MS Mincho" w:cs="Arial"/>
          <w:lang w:eastAsia="ja-JP"/>
        </w:rPr>
        <w:t xml:space="preserve">he current policy is </w:t>
      </w:r>
      <w:r>
        <w:rPr>
          <w:rFonts w:eastAsia="MS Mincho" w:cs="Arial"/>
          <w:lang w:eastAsia="ja-JP"/>
        </w:rPr>
        <w:t xml:space="preserve">due to expire in </w:t>
      </w:r>
      <w:r w:rsidRPr="00FD3266">
        <w:rPr>
          <w:rFonts w:eastAsia="MS Mincho" w:cs="Arial"/>
          <w:lang w:eastAsia="ja-JP"/>
        </w:rPr>
        <w:t>201</w:t>
      </w:r>
      <w:r>
        <w:rPr>
          <w:rFonts w:eastAsia="MS Mincho" w:cs="Arial"/>
          <w:lang w:eastAsia="ja-JP"/>
        </w:rPr>
        <w:t>9, and the 2005 Act requires the Council to implement a new Policy by 31</w:t>
      </w:r>
      <w:r w:rsidRPr="00D5017B">
        <w:rPr>
          <w:rFonts w:eastAsia="MS Mincho" w:cs="Arial"/>
          <w:vertAlign w:val="superscript"/>
          <w:lang w:eastAsia="ja-JP"/>
        </w:rPr>
        <w:t>st</w:t>
      </w:r>
      <w:r>
        <w:rPr>
          <w:rFonts w:eastAsia="MS Mincho" w:cs="Arial"/>
          <w:lang w:eastAsia="ja-JP"/>
        </w:rPr>
        <w:t xml:space="preserve"> January 2019.</w:t>
      </w:r>
    </w:p>
    <w:p w:rsidR="006335AC" w:rsidRDefault="006335AC" w:rsidP="006335AC">
      <w:pPr>
        <w:pStyle w:val="ListParagraph"/>
        <w:numPr>
          <w:ilvl w:val="0"/>
          <w:numId w:val="0"/>
        </w:numPr>
        <w:ind w:left="360"/>
        <w:rPr>
          <w:rFonts w:eastAsia="MS Mincho" w:cs="Arial"/>
          <w:lang w:eastAsia="ja-JP"/>
        </w:rPr>
      </w:pPr>
    </w:p>
    <w:p w:rsidR="006335AC" w:rsidRPr="007F7B4C" w:rsidRDefault="006335AC" w:rsidP="0054168D">
      <w:pPr>
        <w:numPr>
          <w:ilvl w:val="0"/>
          <w:numId w:val="8"/>
        </w:numPr>
        <w:tabs>
          <w:tab w:val="clear" w:pos="360"/>
          <w:tab w:val="num" w:pos="709"/>
        </w:tabs>
        <w:autoSpaceDE w:val="0"/>
        <w:autoSpaceDN w:val="0"/>
        <w:adjustRightInd w:val="0"/>
        <w:ind w:left="709" w:hanging="709"/>
        <w:rPr>
          <w:rFonts w:cs="Arial"/>
          <w:color w:val="000000" w:themeColor="text1"/>
        </w:rPr>
      </w:pPr>
      <w:r w:rsidRPr="007F7B4C">
        <w:rPr>
          <w:rFonts w:eastAsia="MS Mincho" w:cs="Arial"/>
          <w:color w:val="000000" w:themeColor="text1"/>
          <w:lang w:eastAsia="ja-JP"/>
        </w:rPr>
        <w:t xml:space="preserve">The Gambling Commission issuing new Guidance </w:t>
      </w:r>
      <w:r w:rsidR="007F7B4C" w:rsidRPr="007F7B4C">
        <w:rPr>
          <w:rFonts w:eastAsia="MS Mincho" w:cs="Arial"/>
          <w:color w:val="000000" w:themeColor="text1"/>
          <w:lang w:eastAsia="ja-JP"/>
        </w:rPr>
        <w:t xml:space="preserve">September 2016 </w:t>
      </w:r>
      <w:r w:rsidRPr="007F7B4C">
        <w:rPr>
          <w:rFonts w:eastAsia="MS Mincho" w:cs="Arial"/>
          <w:color w:val="000000" w:themeColor="text1"/>
          <w:lang w:eastAsia="ja-JP"/>
        </w:rPr>
        <w:t>to Licensing Authorities that include</w:t>
      </w:r>
      <w:r w:rsidR="007F7B4C" w:rsidRPr="007F7B4C">
        <w:rPr>
          <w:rFonts w:eastAsia="MS Mincho" w:cs="Arial"/>
          <w:color w:val="000000" w:themeColor="text1"/>
          <w:lang w:eastAsia="ja-JP"/>
        </w:rPr>
        <w:t>s</w:t>
      </w:r>
      <w:r w:rsidRPr="007F7B4C">
        <w:rPr>
          <w:rFonts w:eastAsia="MS Mincho" w:cs="Arial"/>
          <w:color w:val="000000" w:themeColor="text1"/>
          <w:lang w:eastAsia="ja-JP"/>
        </w:rPr>
        <w:t xml:space="preserve"> </w:t>
      </w:r>
      <w:r w:rsidRPr="007F7B4C">
        <w:rPr>
          <w:rFonts w:cs="Arial"/>
          <w:color w:val="000000" w:themeColor="text1"/>
        </w:rPr>
        <w:t>revisions to statutory guidance that clarify the extent of discretion available to Licensing Authorities in exercising their powers and the benefits of partnership working.</w:t>
      </w:r>
    </w:p>
    <w:p w:rsidR="006335AC" w:rsidRDefault="006335AC" w:rsidP="006335AC">
      <w:pPr>
        <w:pStyle w:val="ListParagraph"/>
        <w:numPr>
          <w:ilvl w:val="0"/>
          <w:numId w:val="0"/>
        </w:numPr>
        <w:ind w:left="709"/>
        <w:rPr>
          <w:rFonts w:cs="Arial"/>
        </w:rPr>
      </w:pPr>
    </w:p>
    <w:p w:rsidR="006335AC" w:rsidRPr="00342F15" w:rsidRDefault="006335AC" w:rsidP="0054168D">
      <w:pPr>
        <w:numPr>
          <w:ilvl w:val="0"/>
          <w:numId w:val="8"/>
        </w:numPr>
        <w:tabs>
          <w:tab w:val="clear" w:pos="360"/>
          <w:tab w:val="num" w:pos="709"/>
        </w:tabs>
        <w:autoSpaceDE w:val="0"/>
        <w:autoSpaceDN w:val="0"/>
        <w:adjustRightInd w:val="0"/>
        <w:ind w:left="709" w:hanging="709"/>
        <w:rPr>
          <w:color w:val="000000" w:themeColor="text1"/>
          <w:szCs w:val="19"/>
        </w:rPr>
      </w:pPr>
      <w:r w:rsidRPr="00342F15">
        <w:rPr>
          <w:rFonts w:cs="Arial"/>
          <w:color w:val="000000" w:themeColor="text1"/>
        </w:rPr>
        <w:t>The new Guidance also provide</w:t>
      </w:r>
      <w:r w:rsidR="00342F15" w:rsidRPr="00342F15">
        <w:rPr>
          <w:rFonts w:cs="Arial"/>
          <w:color w:val="000000" w:themeColor="text1"/>
        </w:rPr>
        <w:t>s</w:t>
      </w:r>
      <w:r w:rsidRPr="00342F15">
        <w:rPr>
          <w:rFonts w:cs="Arial"/>
          <w:color w:val="000000" w:themeColor="text1"/>
        </w:rPr>
        <w:t xml:space="preserve"> clarity on the importance of the Statement of Gambling Licensing Policy as a regulatory tool and include</w:t>
      </w:r>
      <w:r w:rsidR="00342F15" w:rsidRPr="00342F15">
        <w:rPr>
          <w:rFonts w:cs="Arial"/>
          <w:color w:val="000000" w:themeColor="text1"/>
        </w:rPr>
        <w:t>s</w:t>
      </w:r>
      <w:r w:rsidRPr="00342F15">
        <w:rPr>
          <w:rFonts w:cs="Arial"/>
          <w:color w:val="000000" w:themeColor="text1"/>
        </w:rPr>
        <w:t xml:space="preserve"> guidance on the development of “Local Area Profiles”.</w:t>
      </w:r>
    </w:p>
    <w:p w:rsidR="006335AC" w:rsidRPr="00C25DA5" w:rsidRDefault="006335AC" w:rsidP="00C25DA5">
      <w:pPr>
        <w:rPr>
          <w:szCs w:val="19"/>
        </w:rPr>
      </w:pPr>
    </w:p>
    <w:p w:rsidR="006335AC" w:rsidRPr="000F6D05" w:rsidRDefault="00C25DA5" w:rsidP="0054168D">
      <w:pPr>
        <w:numPr>
          <w:ilvl w:val="0"/>
          <w:numId w:val="8"/>
        </w:numPr>
        <w:tabs>
          <w:tab w:val="clear" w:pos="360"/>
          <w:tab w:val="num" w:pos="720"/>
        </w:tabs>
        <w:ind w:left="720" w:hanging="720"/>
        <w:rPr>
          <w:szCs w:val="19"/>
        </w:rPr>
      </w:pPr>
      <w:r>
        <w:rPr>
          <w:szCs w:val="19"/>
        </w:rPr>
        <w:t>A renewed policy has been drafted taking into account the new guidance.</w:t>
      </w:r>
      <w:r w:rsidRPr="000F6D05">
        <w:rPr>
          <w:szCs w:val="19"/>
        </w:rPr>
        <w:t xml:space="preserve"> </w:t>
      </w:r>
      <w:r w:rsidR="006335AC" w:rsidRPr="000F6D05">
        <w:rPr>
          <w:szCs w:val="19"/>
        </w:rPr>
        <w:t xml:space="preserve">A copy of the </w:t>
      </w:r>
      <w:r w:rsidR="006335AC">
        <w:rPr>
          <w:szCs w:val="19"/>
        </w:rPr>
        <w:t xml:space="preserve">draft revised </w:t>
      </w:r>
      <w:r w:rsidR="006335AC" w:rsidRPr="000F6D05">
        <w:rPr>
          <w:szCs w:val="19"/>
        </w:rPr>
        <w:t xml:space="preserve">Policy is attached at </w:t>
      </w:r>
      <w:r w:rsidR="006335AC" w:rsidRPr="000F6D05">
        <w:rPr>
          <w:b/>
          <w:szCs w:val="19"/>
        </w:rPr>
        <w:t>Appendix One</w:t>
      </w:r>
      <w:r w:rsidR="006335AC" w:rsidRPr="000F6D05">
        <w:rPr>
          <w:szCs w:val="19"/>
        </w:rPr>
        <w:t>.</w:t>
      </w:r>
    </w:p>
    <w:p w:rsidR="00C12513" w:rsidRDefault="00C12513" w:rsidP="00C12513">
      <w:pPr>
        <w:pStyle w:val="BodyText"/>
        <w:tabs>
          <w:tab w:val="num" w:pos="709"/>
        </w:tabs>
        <w:ind w:left="709" w:hanging="709"/>
        <w:rPr>
          <w:szCs w:val="24"/>
        </w:rPr>
      </w:pPr>
    </w:p>
    <w:p w:rsidR="00A07274" w:rsidRPr="00D6452F" w:rsidRDefault="00A07274" w:rsidP="00A07274">
      <w:pPr>
        <w:rPr>
          <w:b/>
          <w:szCs w:val="19"/>
        </w:rPr>
      </w:pPr>
      <w:r w:rsidRPr="00D6452F">
        <w:rPr>
          <w:b/>
          <w:szCs w:val="19"/>
        </w:rPr>
        <w:t>Gambling Commission: Guidance issued to Licensing Authorities</w:t>
      </w:r>
    </w:p>
    <w:p w:rsidR="00A07274" w:rsidRDefault="00A07274" w:rsidP="00A07274">
      <w:pPr>
        <w:rPr>
          <w:szCs w:val="19"/>
        </w:rPr>
      </w:pPr>
    </w:p>
    <w:p w:rsidR="0032568C" w:rsidRPr="00843A85" w:rsidRDefault="00A07274" w:rsidP="0032568C">
      <w:pPr>
        <w:numPr>
          <w:ilvl w:val="0"/>
          <w:numId w:val="8"/>
        </w:numPr>
        <w:tabs>
          <w:tab w:val="clear" w:pos="360"/>
          <w:tab w:val="num" w:pos="720"/>
        </w:tabs>
        <w:ind w:left="720" w:hanging="720"/>
        <w:rPr>
          <w:szCs w:val="19"/>
        </w:rPr>
      </w:pPr>
      <w:r w:rsidRPr="00241236">
        <w:rPr>
          <w:szCs w:val="19"/>
        </w:rPr>
        <w:t xml:space="preserve">In carrying out </w:t>
      </w:r>
      <w:r>
        <w:rPr>
          <w:szCs w:val="19"/>
        </w:rPr>
        <w:t>its</w:t>
      </w:r>
      <w:r w:rsidRPr="00241236">
        <w:rPr>
          <w:szCs w:val="19"/>
        </w:rPr>
        <w:t xml:space="preserve"> functions the Licensing Authority must also have regard to the "Guidance issued </w:t>
      </w:r>
      <w:r>
        <w:rPr>
          <w:szCs w:val="19"/>
        </w:rPr>
        <w:t>to Licensing Authorities</w:t>
      </w:r>
      <w:r w:rsidRPr="00241236">
        <w:rPr>
          <w:szCs w:val="19"/>
        </w:rPr>
        <w:t xml:space="preserve">" by the </w:t>
      </w:r>
      <w:r>
        <w:rPr>
          <w:szCs w:val="19"/>
        </w:rPr>
        <w:t>Gambling Commission (being the unified regulator for gambling in Great Britain)</w:t>
      </w:r>
      <w:r w:rsidRPr="00241236">
        <w:rPr>
          <w:szCs w:val="19"/>
        </w:rPr>
        <w:t xml:space="preserve">. </w:t>
      </w:r>
      <w:r>
        <w:rPr>
          <w:szCs w:val="19"/>
        </w:rPr>
        <w:t>Revised guidance</w:t>
      </w:r>
      <w:r w:rsidRPr="00241236">
        <w:rPr>
          <w:szCs w:val="19"/>
        </w:rPr>
        <w:t xml:space="preserve"> </w:t>
      </w:r>
      <w:r>
        <w:rPr>
          <w:szCs w:val="19"/>
        </w:rPr>
        <w:t xml:space="preserve">last </w:t>
      </w:r>
      <w:r w:rsidRPr="00241236">
        <w:rPr>
          <w:szCs w:val="19"/>
        </w:rPr>
        <w:t xml:space="preserve">came into force in </w:t>
      </w:r>
      <w:r w:rsidRPr="004D4B82">
        <w:rPr>
          <w:szCs w:val="19"/>
        </w:rPr>
        <w:t>September 201</w:t>
      </w:r>
      <w:r w:rsidR="004D4B82" w:rsidRPr="004D4B82">
        <w:rPr>
          <w:szCs w:val="19"/>
        </w:rPr>
        <w:t>6</w:t>
      </w:r>
      <w:r>
        <w:rPr>
          <w:szCs w:val="19"/>
        </w:rPr>
        <w:t xml:space="preserve"> which is fully covered within our current Policy.</w:t>
      </w:r>
    </w:p>
    <w:p w:rsidR="00A07274" w:rsidRDefault="00A07274" w:rsidP="00A07274">
      <w:pPr>
        <w:rPr>
          <w:szCs w:val="19"/>
        </w:rPr>
      </w:pPr>
    </w:p>
    <w:p w:rsidR="00A07274" w:rsidRDefault="00A07274" w:rsidP="0054168D">
      <w:pPr>
        <w:numPr>
          <w:ilvl w:val="0"/>
          <w:numId w:val="8"/>
        </w:numPr>
        <w:tabs>
          <w:tab w:val="clear" w:pos="360"/>
          <w:tab w:val="num" w:pos="709"/>
        </w:tabs>
        <w:autoSpaceDE w:val="0"/>
        <w:autoSpaceDN w:val="0"/>
        <w:adjustRightInd w:val="0"/>
        <w:ind w:left="709" w:hanging="709"/>
        <w:rPr>
          <w:szCs w:val="19"/>
        </w:rPr>
      </w:pPr>
      <w:r>
        <w:rPr>
          <w:szCs w:val="19"/>
        </w:rPr>
        <w:t xml:space="preserve">The </w:t>
      </w:r>
      <w:r w:rsidRPr="00241236">
        <w:rPr>
          <w:szCs w:val="19"/>
        </w:rPr>
        <w:t xml:space="preserve">Guidance prescribes what must be included in </w:t>
      </w:r>
      <w:r>
        <w:rPr>
          <w:szCs w:val="19"/>
        </w:rPr>
        <w:t>an Authority’s Policy</w:t>
      </w:r>
      <w:r w:rsidRPr="00241236">
        <w:rPr>
          <w:szCs w:val="19"/>
        </w:rPr>
        <w:t xml:space="preserve"> content in the interest of national consistency. The Council </w:t>
      </w:r>
      <w:r>
        <w:rPr>
          <w:szCs w:val="19"/>
        </w:rPr>
        <w:t>therefore has limited</w:t>
      </w:r>
      <w:r w:rsidRPr="00241236">
        <w:rPr>
          <w:szCs w:val="19"/>
        </w:rPr>
        <w:t xml:space="preserve"> scope to make significant changes to the Statement of Gambling</w:t>
      </w:r>
      <w:r w:rsidRPr="00241236">
        <w:t xml:space="preserve"> </w:t>
      </w:r>
      <w:r>
        <w:rPr>
          <w:szCs w:val="19"/>
        </w:rPr>
        <w:t>Licensing Policy. However where there are good reasons, the P</w:t>
      </w:r>
      <w:r w:rsidRPr="00241236">
        <w:rPr>
          <w:szCs w:val="19"/>
        </w:rPr>
        <w:t>olicy can depart from the Guidance in order to reflect local circumstances.</w:t>
      </w:r>
    </w:p>
    <w:p w:rsidR="008C68C7" w:rsidRDefault="008C68C7" w:rsidP="000A71B6">
      <w:pPr>
        <w:pStyle w:val="ListParagraph"/>
        <w:numPr>
          <w:ilvl w:val="0"/>
          <w:numId w:val="0"/>
        </w:numPr>
        <w:ind w:left="360"/>
        <w:rPr>
          <w:szCs w:val="19"/>
        </w:rPr>
      </w:pPr>
    </w:p>
    <w:p w:rsidR="00843A85" w:rsidRDefault="00843A85" w:rsidP="000A71B6">
      <w:pPr>
        <w:pStyle w:val="ListParagraph"/>
        <w:numPr>
          <w:ilvl w:val="0"/>
          <w:numId w:val="0"/>
        </w:numPr>
        <w:ind w:left="360"/>
        <w:rPr>
          <w:szCs w:val="19"/>
        </w:rPr>
      </w:pPr>
    </w:p>
    <w:p w:rsidR="00843A85" w:rsidRDefault="00843A85" w:rsidP="000A71B6">
      <w:pPr>
        <w:pStyle w:val="ListParagraph"/>
        <w:numPr>
          <w:ilvl w:val="0"/>
          <w:numId w:val="0"/>
        </w:numPr>
        <w:ind w:left="360"/>
        <w:rPr>
          <w:szCs w:val="19"/>
        </w:rPr>
      </w:pPr>
    </w:p>
    <w:p w:rsidR="00843A85" w:rsidRDefault="00843A85" w:rsidP="000A71B6">
      <w:pPr>
        <w:pStyle w:val="ListParagraph"/>
        <w:numPr>
          <w:ilvl w:val="0"/>
          <w:numId w:val="0"/>
        </w:numPr>
        <w:ind w:left="360"/>
        <w:rPr>
          <w:szCs w:val="19"/>
        </w:rPr>
      </w:pPr>
    </w:p>
    <w:p w:rsidR="00A07274" w:rsidRPr="000F6D05" w:rsidRDefault="00A07274" w:rsidP="00843A85">
      <w:pPr>
        <w:numPr>
          <w:ilvl w:val="0"/>
          <w:numId w:val="9"/>
        </w:numPr>
        <w:ind w:left="709" w:hanging="709"/>
      </w:pPr>
      <w:r>
        <w:rPr>
          <w:szCs w:val="19"/>
        </w:rPr>
        <w:lastRenderedPageBreak/>
        <w:t>From 6</w:t>
      </w:r>
      <w:r w:rsidRPr="00502A38">
        <w:rPr>
          <w:szCs w:val="19"/>
          <w:vertAlign w:val="superscript"/>
        </w:rPr>
        <w:t>th</w:t>
      </w:r>
      <w:r>
        <w:rPr>
          <w:szCs w:val="19"/>
        </w:rPr>
        <w:t xml:space="preserve"> April 2016 a mandatory requirement of the 2005 Act is placed on all applicants seeking a new licence or varying a current licence to “Assess Local Risk” in accordance with the requirements of the Gambling Commissions Social Responsibility Code Provision 10.1.1 and Ordinary Code Provision 10.1.2. A copy of the Provisions is attached at </w:t>
      </w:r>
      <w:r w:rsidRPr="00193AB8">
        <w:rPr>
          <w:b/>
          <w:szCs w:val="19"/>
        </w:rPr>
        <w:t>Appendix Two</w:t>
      </w:r>
      <w:r>
        <w:rPr>
          <w:szCs w:val="19"/>
        </w:rPr>
        <w:t>.</w:t>
      </w:r>
    </w:p>
    <w:p w:rsidR="00A07274" w:rsidRPr="00193AB8" w:rsidRDefault="00A07274" w:rsidP="00A07274">
      <w:pPr>
        <w:ind w:left="720"/>
      </w:pPr>
    </w:p>
    <w:p w:rsidR="00A07274" w:rsidRPr="002944BC" w:rsidRDefault="00A07274" w:rsidP="0054168D">
      <w:pPr>
        <w:numPr>
          <w:ilvl w:val="0"/>
          <w:numId w:val="9"/>
        </w:numPr>
        <w:ind w:hanging="720"/>
        <w:rPr>
          <w:color w:val="000000" w:themeColor="text1"/>
        </w:rPr>
      </w:pPr>
      <w:r w:rsidRPr="002944BC">
        <w:rPr>
          <w:color w:val="000000" w:themeColor="text1"/>
          <w:szCs w:val="19"/>
        </w:rPr>
        <w:t xml:space="preserve">These Provisions, and in turn the information provided within the </w:t>
      </w:r>
      <w:r w:rsidR="002944BC" w:rsidRPr="002944BC">
        <w:rPr>
          <w:color w:val="000000" w:themeColor="text1"/>
          <w:szCs w:val="19"/>
        </w:rPr>
        <w:t xml:space="preserve">revised </w:t>
      </w:r>
      <w:r w:rsidRPr="002944BC">
        <w:rPr>
          <w:color w:val="000000" w:themeColor="text1"/>
          <w:szCs w:val="19"/>
        </w:rPr>
        <w:t>Guidance, provide greater clarity and a wider understanding of what is deemed relevant and appropriate for the Authority to consider when carrying out its own Local Area Profiling, and allow it to better reflect local circumstances to address concerns frequently raised by Members as to the perceived proliferation of gambling premises and the impact these venues may have locally.</w:t>
      </w:r>
    </w:p>
    <w:p w:rsidR="00A07274" w:rsidRDefault="00A07274" w:rsidP="00A07274">
      <w:pPr>
        <w:autoSpaceDE w:val="0"/>
        <w:autoSpaceDN w:val="0"/>
        <w:adjustRightInd w:val="0"/>
        <w:ind w:left="720"/>
        <w:rPr>
          <w:rFonts w:eastAsia="MS Mincho" w:cs="Arial"/>
          <w:lang w:eastAsia="ja-JP"/>
        </w:rPr>
      </w:pPr>
    </w:p>
    <w:p w:rsidR="00A07274" w:rsidRPr="00E2772F" w:rsidRDefault="00A07274" w:rsidP="0054168D">
      <w:pPr>
        <w:numPr>
          <w:ilvl w:val="0"/>
          <w:numId w:val="9"/>
        </w:numPr>
        <w:autoSpaceDE w:val="0"/>
        <w:autoSpaceDN w:val="0"/>
        <w:adjustRightInd w:val="0"/>
        <w:ind w:hanging="720"/>
        <w:rPr>
          <w:rFonts w:eastAsia="MS Mincho" w:cs="Arial"/>
          <w:lang w:eastAsia="ja-JP"/>
        </w:rPr>
      </w:pPr>
      <w:r>
        <w:rPr>
          <w:rFonts w:eastAsia="MS Mincho" w:cs="Arial"/>
          <w:lang w:eastAsia="ja-JP"/>
        </w:rPr>
        <w:t xml:space="preserve">As such, a review of the Policy </w:t>
      </w:r>
      <w:r w:rsidR="00E051E5">
        <w:rPr>
          <w:rFonts w:eastAsia="MS Mincho" w:cs="Arial"/>
          <w:lang w:eastAsia="ja-JP"/>
        </w:rPr>
        <w:t>has been carried out in</w:t>
      </w:r>
      <w:r>
        <w:rPr>
          <w:rFonts w:eastAsia="MS Mincho" w:cs="Arial"/>
          <w:lang w:eastAsia="ja-JP"/>
        </w:rPr>
        <w:t xml:space="preserve">, and </w:t>
      </w:r>
      <w:r w:rsidRPr="00E2772F">
        <w:rPr>
          <w:rFonts w:eastAsia="MS Mincho" w:cs="Arial"/>
          <w:lang w:eastAsia="ja-JP"/>
        </w:rPr>
        <w:t>include</w:t>
      </w:r>
      <w:r w:rsidR="00E051E5">
        <w:rPr>
          <w:rFonts w:eastAsia="MS Mincho" w:cs="Arial"/>
          <w:lang w:eastAsia="ja-JP"/>
        </w:rPr>
        <w:t>s</w:t>
      </w:r>
      <w:r w:rsidRPr="00E2772F">
        <w:rPr>
          <w:rFonts w:eastAsia="MS Mincho" w:cs="Arial"/>
          <w:lang w:eastAsia="ja-JP"/>
        </w:rPr>
        <w:t xml:space="preserve"> </w:t>
      </w:r>
      <w:r w:rsidR="00E051E5">
        <w:rPr>
          <w:rFonts w:eastAsia="MS Mincho" w:cs="Arial"/>
          <w:lang w:eastAsia="ja-JP"/>
        </w:rPr>
        <w:t>reference to the Oxford City Council</w:t>
      </w:r>
      <w:r w:rsidRPr="00E2772F">
        <w:rPr>
          <w:rFonts w:eastAsia="MS Mincho" w:cs="Arial"/>
          <w:lang w:eastAsia="ja-JP"/>
        </w:rPr>
        <w:t xml:space="preserve"> Local Area Profile</w:t>
      </w:r>
      <w:r>
        <w:rPr>
          <w:rFonts w:eastAsia="MS Mincho" w:cs="Arial"/>
          <w:lang w:eastAsia="ja-JP"/>
        </w:rPr>
        <w:t xml:space="preserve">, which </w:t>
      </w:r>
      <w:r w:rsidR="00E051E5">
        <w:rPr>
          <w:rFonts w:eastAsia="MS Mincho" w:cs="Arial"/>
          <w:lang w:eastAsia="ja-JP"/>
        </w:rPr>
        <w:t>has been</w:t>
      </w:r>
      <w:r>
        <w:rPr>
          <w:rFonts w:eastAsia="MS Mincho" w:cs="Arial"/>
          <w:lang w:eastAsia="ja-JP"/>
        </w:rPr>
        <w:t xml:space="preserve"> compiled through partnership work with appropriate agencies that can provide relevant “profiling” data</w:t>
      </w:r>
      <w:r w:rsidRPr="00E2772F">
        <w:rPr>
          <w:rFonts w:eastAsia="MS Mincho" w:cs="Arial"/>
          <w:lang w:eastAsia="ja-JP"/>
        </w:rPr>
        <w:t xml:space="preserve">. </w:t>
      </w:r>
    </w:p>
    <w:p w:rsidR="00A07274" w:rsidRDefault="00A07274" w:rsidP="00A07274">
      <w:pPr>
        <w:autoSpaceDE w:val="0"/>
        <w:autoSpaceDN w:val="0"/>
        <w:adjustRightInd w:val="0"/>
        <w:rPr>
          <w:rFonts w:eastAsia="MS Mincho" w:cs="Arial"/>
          <w:b/>
          <w:lang w:eastAsia="ja-JP"/>
        </w:rPr>
      </w:pPr>
    </w:p>
    <w:p w:rsidR="000E5EAE" w:rsidRPr="00525B8F" w:rsidRDefault="000E5EAE" w:rsidP="000E5EAE">
      <w:pPr>
        <w:autoSpaceDE w:val="0"/>
        <w:autoSpaceDN w:val="0"/>
        <w:adjustRightInd w:val="0"/>
        <w:rPr>
          <w:rFonts w:eastAsia="MS Mincho" w:cs="Arial"/>
          <w:b/>
          <w:lang w:eastAsia="ja-JP"/>
        </w:rPr>
      </w:pPr>
      <w:r w:rsidRPr="00525B8F">
        <w:rPr>
          <w:rFonts w:eastAsia="MS Mincho" w:cs="Arial"/>
          <w:b/>
          <w:lang w:eastAsia="ja-JP"/>
        </w:rPr>
        <w:t>Functions of the Licensing Authority</w:t>
      </w:r>
    </w:p>
    <w:p w:rsidR="000E5EAE" w:rsidRPr="00525B8F" w:rsidRDefault="000E5EAE" w:rsidP="000E5EAE">
      <w:pPr>
        <w:autoSpaceDE w:val="0"/>
        <w:autoSpaceDN w:val="0"/>
        <w:adjustRightInd w:val="0"/>
        <w:rPr>
          <w:rFonts w:eastAsia="MS Mincho" w:cs="Arial"/>
          <w:lang w:eastAsia="ja-JP"/>
        </w:rPr>
      </w:pPr>
    </w:p>
    <w:p w:rsidR="000E5EAE" w:rsidRPr="00525B8F" w:rsidRDefault="007B0DD0" w:rsidP="000E5EAE">
      <w:pPr>
        <w:autoSpaceDE w:val="0"/>
        <w:autoSpaceDN w:val="0"/>
        <w:adjustRightInd w:val="0"/>
        <w:ind w:left="720" w:hanging="720"/>
        <w:rPr>
          <w:rFonts w:eastAsia="MS Mincho" w:cs="Arial"/>
          <w:lang w:eastAsia="ja-JP"/>
        </w:rPr>
      </w:pPr>
      <w:r>
        <w:rPr>
          <w:rFonts w:eastAsia="MS Mincho" w:cs="Arial"/>
          <w:lang w:eastAsia="ja-JP"/>
        </w:rPr>
        <w:t>12</w:t>
      </w:r>
      <w:r w:rsidR="000E5EAE">
        <w:rPr>
          <w:rFonts w:eastAsia="MS Mincho" w:cs="Arial"/>
          <w:lang w:eastAsia="ja-JP"/>
        </w:rPr>
        <w:t>.</w:t>
      </w:r>
      <w:r w:rsidR="000E5EAE">
        <w:rPr>
          <w:rFonts w:eastAsia="MS Mincho" w:cs="Arial"/>
          <w:lang w:eastAsia="ja-JP"/>
        </w:rPr>
        <w:tab/>
        <w:t>The 2005 Act gives L</w:t>
      </w:r>
      <w:r w:rsidR="000E5EAE" w:rsidRPr="00525B8F">
        <w:rPr>
          <w:rFonts w:eastAsia="MS Mincho" w:cs="Arial"/>
          <w:lang w:eastAsia="ja-JP"/>
        </w:rPr>
        <w:t xml:space="preserve">icensing </w:t>
      </w:r>
      <w:r w:rsidR="000E5EAE">
        <w:rPr>
          <w:rFonts w:eastAsia="MS Mincho" w:cs="Arial"/>
          <w:lang w:eastAsia="ja-JP"/>
        </w:rPr>
        <w:t>A</w:t>
      </w:r>
      <w:r w:rsidR="000E5EAE" w:rsidRPr="00525B8F">
        <w:rPr>
          <w:rFonts w:eastAsia="MS Mincho" w:cs="Arial"/>
          <w:lang w:eastAsia="ja-JP"/>
        </w:rPr>
        <w:t>uthorities a number of important regulatory functions in relation to gambling. Their main functions are to:</w:t>
      </w:r>
    </w:p>
    <w:p w:rsidR="000E5EAE" w:rsidRPr="00525B8F" w:rsidRDefault="000E5EAE" w:rsidP="000E5EAE">
      <w:pPr>
        <w:autoSpaceDE w:val="0"/>
        <w:autoSpaceDN w:val="0"/>
        <w:adjustRightInd w:val="0"/>
        <w:rPr>
          <w:rFonts w:eastAsia="MS Mincho" w:cs="Arial"/>
          <w:lang w:eastAsia="ja-JP"/>
        </w:rPr>
      </w:pP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licence premises for gambling activities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consider notices given for the temporary use of premises for gambling</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grant permits for gaming and gaming machines in clubs and miners’ welfare</w:t>
      </w:r>
      <w:r>
        <w:rPr>
          <w:rFonts w:eastAsia="MS Mincho" w:cs="Arial"/>
          <w:lang w:eastAsia="ja-JP"/>
        </w:rPr>
        <w:t xml:space="preserve"> </w:t>
      </w:r>
      <w:r w:rsidRPr="00525B8F">
        <w:rPr>
          <w:rFonts w:eastAsia="MS Mincho" w:cs="Arial"/>
          <w:lang w:eastAsia="ja-JP"/>
        </w:rPr>
        <w:t>institutes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regulate gaming and gaming machines in alcohol-licensed premises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grant permits to family entertainment centres (FECs) for the use of certain lower</w:t>
      </w:r>
      <w:r>
        <w:rPr>
          <w:rFonts w:eastAsia="MS Mincho" w:cs="Arial"/>
          <w:lang w:eastAsia="ja-JP"/>
        </w:rPr>
        <w:t xml:space="preserve"> </w:t>
      </w:r>
      <w:r w:rsidRPr="00525B8F">
        <w:rPr>
          <w:rFonts w:eastAsia="MS Mincho" w:cs="Arial"/>
          <w:lang w:eastAsia="ja-JP"/>
        </w:rPr>
        <w:t>stake gaming machines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sidRPr="00525B8F">
        <w:rPr>
          <w:rFonts w:eastAsia="MS Mincho" w:cs="Arial"/>
          <w:lang w:eastAsia="ja-JP"/>
        </w:rPr>
        <w:t>grant permits for prize gaming</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r>
        <w:rPr>
          <w:rFonts w:eastAsia="MS Mincho" w:cs="Arial"/>
          <w:lang w:eastAsia="ja-JP"/>
        </w:rPr>
        <w:t>c</w:t>
      </w:r>
      <w:r w:rsidRPr="00525B8F">
        <w:rPr>
          <w:rFonts w:eastAsia="MS Mincho" w:cs="Arial"/>
          <w:lang w:eastAsia="ja-JP"/>
        </w:rPr>
        <w:t>onsider occasional use notices for betting at tracks</w:t>
      </w:r>
    </w:p>
    <w:p w:rsidR="000E5EAE" w:rsidRPr="00525B8F" w:rsidRDefault="000E5EAE" w:rsidP="0054168D">
      <w:pPr>
        <w:numPr>
          <w:ilvl w:val="0"/>
          <w:numId w:val="11"/>
        </w:numPr>
        <w:tabs>
          <w:tab w:val="clear" w:pos="1440"/>
          <w:tab w:val="num" w:pos="1260"/>
        </w:tabs>
        <w:autoSpaceDE w:val="0"/>
        <w:autoSpaceDN w:val="0"/>
        <w:adjustRightInd w:val="0"/>
        <w:ind w:left="1260" w:hanging="540"/>
        <w:rPr>
          <w:rFonts w:eastAsia="MS Mincho" w:cs="Arial"/>
          <w:lang w:eastAsia="ja-JP"/>
        </w:rPr>
      </w:pPr>
      <w:proofErr w:type="gramStart"/>
      <w:r w:rsidRPr="00525B8F">
        <w:rPr>
          <w:rFonts w:eastAsia="MS Mincho" w:cs="Arial"/>
          <w:lang w:eastAsia="ja-JP"/>
        </w:rPr>
        <w:t>register</w:t>
      </w:r>
      <w:proofErr w:type="gramEnd"/>
      <w:r w:rsidRPr="00525B8F">
        <w:rPr>
          <w:rFonts w:eastAsia="MS Mincho" w:cs="Arial"/>
          <w:lang w:eastAsia="ja-JP"/>
        </w:rPr>
        <w:t xml:space="preserve"> small societies’ lotteries.</w:t>
      </w:r>
    </w:p>
    <w:p w:rsidR="000E5EAE" w:rsidRDefault="000E5EAE" w:rsidP="000E5EAE">
      <w:pPr>
        <w:autoSpaceDE w:val="0"/>
        <w:autoSpaceDN w:val="0"/>
        <w:adjustRightInd w:val="0"/>
        <w:rPr>
          <w:rFonts w:eastAsia="MS Mincho" w:cs="Arial"/>
          <w:b/>
          <w:bCs/>
          <w:color w:val="008100"/>
          <w:lang w:eastAsia="ja-JP"/>
        </w:rPr>
      </w:pPr>
    </w:p>
    <w:p w:rsidR="000E5EAE" w:rsidRPr="00525B8F" w:rsidRDefault="007B0DD0" w:rsidP="000E5EAE">
      <w:pPr>
        <w:autoSpaceDE w:val="0"/>
        <w:autoSpaceDN w:val="0"/>
        <w:adjustRightInd w:val="0"/>
        <w:ind w:left="720" w:hanging="720"/>
        <w:rPr>
          <w:rFonts w:eastAsia="MS Mincho" w:cs="Arial"/>
          <w:lang w:eastAsia="ja-JP"/>
        </w:rPr>
      </w:pPr>
      <w:r>
        <w:rPr>
          <w:rFonts w:eastAsia="MS Mincho" w:cs="Arial"/>
          <w:lang w:eastAsia="ja-JP"/>
        </w:rPr>
        <w:t>13</w:t>
      </w:r>
      <w:r w:rsidR="000E5EAE">
        <w:rPr>
          <w:rFonts w:eastAsia="MS Mincho" w:cs="Arial"/>
          <w:lang w:eastAsia="ja-JP"/>
        </w:rPr>
        <w:t>.</w:t>
      </w:r>
      <w:r w:rsidR="000E5EAE">
        <w:rPr>
          <w:rFonts w:eastAsia="MS Mincho" w:cs="Arial"/>
          <w:lang w:eastAsia="ja-JP"/>
        </w:rPr>
        <w:tab/>
        <w:t>Licensing A</w:t>
      </w:r>
      <w:r w:rsidR="000E5EAE" w:rsidRPr="00525B8F">
        <w:rPr>
          <w:rFonts w:eastAsia="MS Mincho" w:cs="Arial"/>
          <w:lang w:eastAsia="ja-JP"/>
        </w:rPr>
        <w:t xml:space="preserve">uthorities </w:t>
      </w:r>
      <w:r w:rsidR="000E5EAE">
        <w:rPr>
          <w:rFonts w:eastAsia="MS Mincho" w:cs="Arial"/>
          <w:lang w:eastAsia="ja-JP"/>
        </w:rPr>
        <w:t xml:space="preserve">also </w:t>
      </w:r>
      <w:r w:rsidR="000E5EAE" w:rsidRPr="00525B8F">
        <w:rPr>
          <w:rFonts w:eastAsia="MS Mincho" w:cs="Arial"/>
          <w:lang w:eastAsia="ja-JP"/>
        </w:rPr>
        <w:t>have an obligation to provide information to the Gambling</w:t>
      </w:r>
      <w:r w:rsidR="000E5EAE">
        <w:rPr>
          <w:rFonts w:eastAsia="MS Mincho" w:cs="Arial"/>
          <w:lang w:eastAsia="ja-JP"/>
        </w:rPr>
        <w:t xml:space="preserve"> </w:t>
      </w:r>
      <w:r w:rsidR="000E5EAE" w:rsidRPr="00525B8F">
        <w:rPr>
          <w:rFonts w:eastAsia="MS Mincho" w:cs="Arial"/>
          <w:lang w:eastAsia="ja-JP"/>
        </w:rPr>
        <w:t>Commission, including details of licences, permits and registrations issued</w:t>
      </w:r>
      <w:r w:rsidR="000E5EAE">
        <w:rPr>
          <w:rFonts w:eastAsia="MS Mincho" w:cs="Arial"/>
          <w:lang w:eastAsia="ja-JP"/>
        </w:rPr>
        <w:t xml:space="preserve"> by way of the submission to the Gambling Commission of an “annual return”</w:t>
      </w:r>
      <w:r w:rsidR="000E5EAE" w:rsidRPr="00525B8F">
        <w:rPr>
          <w:rFonts w:eastAsia="MS Mincho" w:cs="Arial"/>
          <w:lang w:eastAsia="ja-JP"/>
        </w:rPr>
        <w:t>.</w:t>
      </w:r>
    </w:p>
    <w:p w:rsidR="000E5EAE" w:rsidRDefault="000E5EAE" w:rsidP="000E5EAE">
      <w:pPr>
        <w:autoSpaceDE w:val="0"/>
        <w:autoSpaceDN w:val="0"/>
        <w:adjustRightInd w:val="0"/>
        <w:rPr>
          <w:rFonts w:eastAsia="MS Mincho" w:cs="Arial"/>
          <w:b/>
          <w:bCs/>
          <w:color w:val="008100"/>
          <w:lang w:eastAsia="ja-JP"/>
        </w:rPr>
      </w:pPr>
    </w:p>
    <w:p w:rsidR="000E5EAE" w:rsidRDefault="000E5EAE" w:rsidP="007B0DD0">
      <w:pPr>
        <w:numPr>
          <w:ilvl w:val="0"/>
          <w:numId w:val="12"/>
        </w:numPr>
        <w:ind w:hanging="720"/>
        <w:rPr>
          <w:szCs w:val="19"/>
        </w:rPr>
      </w:pPr>
      <w:r>
        <w:rPr>
          <w:szCs w:val="19"/>
        </w:rPr>
        <w:t xml:space="preserve">Licensing Authorities also carry out inspections of licensed premises in order to ensure they are run in accordance with the three licensing objectives and the conditions applied to the licences. During the period since the last Statement of Gambling Licensing Policy </w:t>
      </w:r>
      <w:r w:rsidR="00A00458">
        <w:rPr>
          <w:szCs w:val="19"/>
        </w:rPr>
        <w:t>30</w:t>
      </w:r>
      <w:r>
        <w:rPr>
          <w:szCs w:val="19"/>
        </w:rPr>
        <w:t xml:space="preserve"> licensed premises were visited and no issues of non-compliance were found, and no complaints about these premises were received.</w:t>
      </w:r>
    </w:p>
    <w:p w:rsidR="000E5EAE" w:rsidRDefault="000E5EAE" w:rsidP="000E5EAE">
      <w:pPr>
        <w:ind w:hanging="720"/>
        <w:rPr>
          <w:szCs w:val="19"/>
        </w:rPr>
      </w:pPr>
    </w:p>
    <w:p w:rsidR="000E5EAE" w:rsidRDefault="000E5EAE" w:rsidP="0054168D">
      <w:pPr>
        <w:numPr>
          <w:ilvl w:val="0"/>
          <w:numId w:val="12"/>
        </w:numPr>
        <w:ind w:hanging="720"/>
        <w:rPr>
          <w:szCs w:val="19"/>
        </w:rPr>
      </w:pPr>
      <w:r>
        <w:rPr>
          <w:szCs w:val="19"/>
        </w:rPr>
        <w:t>These figures highlight that the previous and current Policy provided a transparent platform from which Operators of licensed premises could manage their businesses, and clear guidance as to how these Operators would meet with the licensing objectives, and how the work of the Officers contributes to the effective control of such establishments.</w:t>
      </w:r>
      <w:r>
        <w:rPr>
          <w:szCs w:val="19"/>
        </w:rPr>
        <w:tab/>
      </w:r>
    </w:p>
    <w:p w:rsidR="000E5EAE" w:rsidRDefault="000E5EAE" w:rsidP="000E5EAE">
      <w:pPr>
        <w:rPr>
          <w:b/>
          <w:szCs w:val="19"/>
        </w:rPr>
      </w:pPr>
    </w:p>
    <w:p w:rsidR="000E5EAE" w:rsidRPr="00241236" w:rsidRDefault="000E5EAE" w:rsidP="000E5EAE">
      <w:pPr>
        <w:rPr>
          <w:b/>
          <w:szCs w:val="19"/>
        </w:rPr>
      </w:pPr>
      <w:r w:rsidRPr="00241236">
        <w:rPr>
          <w:b/>
          <w:szCs w:val="19"/>
        </w:rPr>
        <w:lastRenderedPageBreak/>
        <w:t xml:space="preserve">Consultation on the </w:t>
      </w:r>
      <w:r>
        <w:rPr>
          <w:b/>
          <w:szCs w:val="19"/>
        </w:rPr>
        <w:t>Revised Draft</w:t>
      </w:r>
      <w:r w:rsidRPr="00241236">
        <w:rPr>
          <w:b/>
          <w:szCs w:val="19"/>
        </w:rPr>
        <w:t xml:space="preserve"> Statement of Gambling Licensing Policy</w:t>
      </w:r>
    </w:p>
    <w:p w:rsidR="000E5EAE" w:rsidRDefault="000E5EAE" w:rsidP="000E5EAE">
      <w:pPr>
        <w:rPr>
          <w:szCs w:val="19"/>
        </w:rPr>
      </w:pPr>
    </w:p>
    <w:p w:rsidR="00813813" w:rsidRPr="00A241FC" w:rsidRDefault="00813813" w:rsidP="00813813">
      <w:pPr>
        <w:numPr>
          <w:ilvl w:val="0"/>
          <w:numId w:val="12"/>
        </w:numPr>
        <w:ind w:hanging="720"/>
      </w:pPr>
      <w:r>
        <w:t xml:space="preserve">Before </w:t>
      </w:r>
      <w:r>
        <w:rPr>
          <w:szCs w:val="19"/>
        </w:rPr>
        <w:t xml:space="preserve">determining the </w:t>
      </w:r>
      <w:r w:rsidRPr="00241236">
        <w:rPr>
          <w:szCs w:val="19"/>
        </w:rPr>
        <w:t>Statement of Gambling</w:t>
      </w:r>
      <w:r w:rsidRPr="00241236">
        <w:t xml:space="preserve"> </w:t>
      </w:r>
      <w:r w:rsidRPr="00241236">
        <w:rPr>
          <w:szCs w:val="19"/>
        </w:rPr>
        <w:t xml:space="preserve">Licensing Policy, </w:t>
      </w:r>
      <w:r>
        <w:rPr>
          <w:szCs w:val="19"/>
        </w:rPr>
        <w:t xml:space="preserve">legislation  requires </w:t>
      </w:r>
      <w:r w:rsidRPr="00241236">
        <w:rPr>
          <w:szCs w:val="19"/>
        </w:rPr>
        <w:t xml:space="preserve">the Licensing Authority </w:t>
      </w:r>
      <w:r>
        <w:rPr>
          <w:szCs w:val="19"/>
        </w:rPr>
        <w:t>to</w:t>
      </w:r>
      <w:r w:rsidRPr="00241236">
        <w:t xml:space="preserve"> </w:t>
      </w:r>
      <w:r w:rsidRPr="00241236">
        <w:rPr>
          <w:szCs w:val="19"/>
        </w:rPr>
        <w:t>consult with persons as listed below:</w:t>
      </w:r>
    </w:p>
    <w:p w:rsidR="00813813" w:rsidRDefault="00813813" w:rsidP="00813813">
      <w:pPr>
        <w:ind w:left="720"/>
      </w:pPr>
    </w:p>
    <w:p w:rsidR="00813813" w:rsidRDefault="00813813" w:rsidP="00813813">
      <w:pPr>
        <w:pStyle w:val="ListParagraph"/>
        <w:numPr>
          <w:ilvl w:val="0"/>
          <w:numId w:val="16"/>
        </w:numPr>
        <w:jc w:val="both"/>
        <w:rPr>
          <w:i/>
          <w:iCs/>
          <w:szCs w:val="19"/>
        </w:rPr>
      </w:pPr>
      <w:r w:rsidRPr="00D66D91">
        <w:rPr>
          <w:i/>
          <w:iCs/>
          <w:szCs w:val="19"/>
        </w:rPr>
        <w:t>the chief officer of police for the authority's area,</w:t>
      </w:r>
    </w:p>
    <w:p w:rsidR="00813813" w:rsidRPr="00D66D91" w:rsidRDefault="00813813" w:rsidP="00813813">
      <w:pPr>
        <w:pStyle w:val="ListParagraph"/>
        <w:numPr>
          <w:ilvl w:val="0"/>
          <w:numId w:val="0"/>
        </w:numPr>
        <w:ind w:left="720"/>
        <w:jc w:val="both"/>
        <w:rPr>
          <w:i/>
          <w:iCs/>
          <w:szCs w:val="19"/>
        </w:rPr>
      </w:pPr>
    </w:p>
    <w:p w:rsidR="00813813" w:rsidRDefault="00813813" w:rsidP="00813813">
      <w:pPr>
        <w:pStyle w:val="ListParagraph"/>
        <w:numPr>
          <w:ilvl w:val="0"/>
          <w:numId w:val="16"/>
        </w:numPr>
        <w:jc w:val="both"/>
        <w:rPr>
          <w:i/>
          <w:iCs/>
          <w:szCs w:val="19"/>
        </w:rPr>
      </w:pPr>
      <w:r w:rsidRPr="00D66D91">
        <w:rPr>
          <w:i/>
          <w:iCs/>
          <w:szCs w:val="19"/>
        </w:rPr>
        <w:t>one or more persons who appear to the authority to represent the interests of persons carrying on gambling businesses in the authority's area, and</w:t>
      </w:r>
    </w:p>
    <w:p w:rsidR="00813813" w:rsidRPr="00813813" w:rsidRDefault="00813813" w:rsidP="00813813">
      <w:pPr>
        <w:pStyle w:val="ListParagraph"/>
        <w:numPr>
          <w:ilvl w:val="0"/>
          <w:numId w:val="0"/>
        </w:numPr>
        <w:ind w:left="360"/>
        <w:rPr>
          <w:i/>
          <w:iCs/>
          <w:szCs w:val="19"/>
        </w:rPr>
      </w:pPr>
    </w:p>
    <w:p w:rsidR="00813813" w:rsidRPr="00B36374" w:rsidRDefault="00813813" w:rsidP="00813813">
      <w:pPr>
        <w:pStyle w:val="ListParagraph"/>
        <w:numPr>
          <w:ilvl w:val="0"/>
          <w:numId w:val="16"/>
        </w:numPr>
        <w:jc w:val="both"/>
        <w:rPr>
          <w:szCs w:val="19"/>
        </w:rPr>
      </w:pPr>
      <w:r w:rsidRPr="00D66D91">
        <w:rPr>
          <w:i/>
          <w:iCs/>
          <w:szCs w:val="19"/>
        </w:rPr>
        <w:t>one or more persons who appear to the authority to represent the interests of persons who are likely to be affected by the exercise of the authority's functions under the Act</w:t>
      </w:r>
    </w:p>
    <w:p w:rsidR="002430E7" w:rsidRDefault="002430E7" w:rsidP="002430E7"/>
    <w:p w:rsidR="002430E7" w:rsidRDefault="002430E7" w:rsidP="002430E7">
      <w:pPr>
        <w:pStyle w:val="Default"/>
      </w:pPr>
      <w:r w:rsidRPr="00D66D91">
        <w:t xml:space="preserve">Previous versions of the </w:t>
      </w:r>
      <w:r>
        <w:t>Policy have satisfied this requirement by consultation with:</w:t>
      </w:r>
    </w:p>
    <w:p w:rsidR="002430E7" w:rsidRDefault="002430E7" w:rsidP="002430E7">
      <w:pPr>
        <w:pStyle w:val="Default"/>
      </w:pPr>
    </w:p>
    <w:p w:rsidR="002430E7" w:rsidRPr="00104F43" w:rsidRDefault="002430E7" w:rsidP="002430E7">
      <w:pPr>
        <w:pStyle w:val="Default"/>
        <w:numPr>
          <w:ilvl w:val="0"/>
          <w:numId w:val="17"/>
        </w:numPr>
      </w:pPr>
      <w:r w:rsidRPr="00D66D91">
        <w:t xml:space="preserve">Thames Valley Police </w:t>
      </w:r>
    </w:p>
    <w:p w:rsidR="002430E7" w:rsidRPr="00D66D91" w:rsidRDefault="002430E7" w:rsidP="002430E7">
      <w:pPr>
        <w:pStyle w:val="Default"/>
        <w:numPr>
          <w:ilvl w:val="0"/>
          <w:numId w:val="17"/>
        </w:numPr>
      </w:pPr>
      <w:r w:rsidRPr="00D66D91">
        <w:t xml:space="preserve">The Oxfordshire Safeguarding Children Board </w:t>
      </w:r>
    </w:p>
    <w:p w:rsidR="002430E7" w:rsidRPr="00D66D91" w:rsidRDefault="002430E7" w:rsidP="002430E7">
      <w:pPr>
        <w:pStyle w:val="Default"/>
        <w:numPr>
          <w:ilvl w:val="0"/>
          <w:numId w:val="17"/>
        </w:numPr>
      </w:pPr>
      <w:r w:rsidRPr="00D66D91">
        <w:t xml:space="preserve">The management of all premises in Oxford with Gambling Premises Licences </w:t>
      </w:r>
    </w:p>
    <w:p w:rsidR="002430E7" w:rsidRDefault="002430E7" w:rsidP="002430E7">
      <w:pPr>
        <w:pStyle w:val="ListParagraph"/>
        <w:numPr>
          <w:ilvl w:val="0"/>
          <w:numId w:val="17"/>
        </w:numPr>
      </w:pPr>
      <w:r w:rsidRPr="00D66D91">
        <w:t>Gaming &amp; Betting Organisations</w:t>
      </w:r>
    </w:p>
    <w:p w:rsidR="00813813" w:rsidRPr="00813813" w:rsidRDefault="00813813" w:rsidP="00813813">
      <w:pPr>
        <w:ind w:left="720"/>
      </w:pPr>
    </w:p>
    <w:p w:rsidR="000E5EAE" w:rsidRPr="00625E03" w:rsidRDefault="000E5EAE" w:rsidP="000E5EAE">
      <w:pPr>
        <w:numPr>
          <w:ilvl w:val="0"/>
          <w:numId w:val="12"/>
        </w:numPr>
        <w:ind w:hanging="720"/>
      </w:pPr>
      <w:r w:rsidRPr="00625E03">
        <w:rPr>
          <w:szCs w:val="19"/>
        </w:rPr>
        <w:t xml:space="preserve">The </w:t>
      </w:r>
      <w:r w:rsidR="00FB2720">
        <w:rPr>
          <w:szCs w:val="19"/>
        </w:rPr>
        <w:t xml:space="preserve">draft </w:t>
      </w:r>
      <w:r w:rsidR="00FB2720" w:rsidRPr="00625E03">
        <w:rPr>
          <w:szCs w:val="19"/>
        </w:rPr>
        <w:t>Statement of Gambling</w:t>
      </w:r>
      <w:r w:rsidR="00FB2720" w:rsidRPr="00241236">
        <w:t xml:space="preserve"> </w:t>
      </w:r>
      <w:r w:rsidR="00FB2720" w:rsidRPr="00625E03">
        <w:rPr>
          <w:szCs w:val="19"/>
        </w:rPr>
        <w:t xml:space="preserve">Licensing Policy is required to be approved by the </w:t>
      </w:r>
      <w:r w:rsidR="00FB2720" w:rsidRPr="00BF2275">
        <w:rPr>
          <w:color w:val="000000" w:themeColor="text1"/>
          <w:szCs w:val="19"/>
        </w:rPr>
        <w:t xml:space="preserve">Committee prior to </w:t>
      </w:r>
      <w:r w:rsidR="00FB2720">
        <w:rPr>
          <w:color w:val="000000" w:themeColor="text1"/>
          <w:szCs w:val="19"/>
        </w:rPr>
        <w:t>consultation</w:t>
      </w:r>
      <w:r w:rsidR="00FB2720" w:rsidRPr="00BF2275">
        <w:rPr>
          <w:color w:val="000000" w:themeColor="text1"/>
          <w:szCs w:val="19"/>
        </w:rPr>
        <w:t xml:space="preserve">. </w:t>
      </w:r>
      <w:r w:rsidR="00FB2720" w:rsidRPr="00BF2275">
        <w:rPr>
          <w:color w:val="000000" w:themeColor="text1"/>
        </w:rPr>
        <w:t>The revised draft Policy contains changes on Page 8 to include guidance on the Licensing Process and the requirement for applicants to provide a Local Risk Assessment, and changes on page 11 to include guidance on location and the Local Area Profile</w:t>
      </w:r>
      <w:r w:rsidR="00FB2720">
        <w:rPr>
          <w:color w:val="000000" w:themeColor="text1"/>
        </w:rPr>
        <w:t xml:space="preserve">; </w:t>
      </w:r>
      <w:r w:rsidR="00FB2720">
        <w:rPr>
          <w:szCs w:val="19"/>
        </w:rPr>
        <w:t xml:space="preserve">attached at </w:t>
      </w:r>
      <w:r w:rsidR="00FB2720" w:rsidRPr="00193AB8">
        <w:rPr>
          <w:b/>
          <w:szCs w:val="19"/>
        </w:rPr>
        <w:t>Appendix T</w:t>
      </w:r>
      <w:r w:rsidR="00FB2720">
        <w:rPr>
          <w:b/>
          <w:szCs w:val="19"/>
        </w:rPr>
        <w:t>hree</w:t>
      </w:r>
      <w:r w:rsidR="00FB2720">
        <w:rPr>
          <w:szCs w:val="19"/>
        </w:rPr>
        <w:t>.</w:t>
      </w:r>
      <w:r w:rsidR="00625E03" w:rsidRPr="00BF2275">
        <w:rPr>
          <w:color w:val="000000" w:themeColor="text1"/>
        </w:rPr>
        <w:t xml:space="preserve">  </w:t>
      </w:r>
    </w:p>
    <w:p w:rsidR="009946B0" w:rsidRDefault="009946B0" w:rsidP="009946B0">
      <w:pPr>
        <w:rPr>
          <w:szCs w:val="19"/>
        </w:rPr>
      </w:pPr>
    </w:p>
    <w:p w:rsidR="000E5EAE" w:rsidRPr="00241236" w:rsidRDefault="000E5EAE" w:rsidP="000E5EAE">
      <w:pPr>
        <w:ind w:left="720"/>
        <w:rPr>
          <w:szCs w:val="19"/>
        </w:rPr>
      </w:pPr>
    </w:p>
    <w:p w:rsidR="00FB2720" w:rsidRDefault="00FB2720" w:rsidP="00FB2720">
      <w:pPr>
        <w:numPr>
          <w:ilvl w:val="0"/>
          <w:numId w:val="12"/>
        </w:numPr>
        <w:ind w:hanging="720"/>
      </w:pPr>
      <w:r>
        <w:t>The proposed consultation timetable is as follows:</w:t>
      </w:r>
    </w:p>
    <w:p w:rsidR="00FB2720" w:rsidRPr="00CF1A09" w:rsidRDefault="00FB2720" w:rsidP="00FB2720">
      <w:pPr>
        <w:ind w:left="1080"/>
        <w:rPr>
          <w:sz w:val="16"/>
          <w:szCs w:val="16"/>
        </w:rPr>
      </w:pPr>
    </w:p>
    <w:p w:rsidR="00FB2720" w:rsidRPr="00442D7E" w:rsidRDefault="00FB2720" w:rsidP="00FB2720">
      <w:pPr>
        <w:numPr>
          <w:ilvl w:val="0"/>
          <w:numId w:val="7"/>
        </w:numPr>
        <w:tabs>
          <w:tab w:val="left" w:pos="1800"/>
        </w:tabs>
        <w:ind w:left="1080"/>
        <w:rPr>
          <w:color w:val="000000" w:themeColor="text1"/>
        </w:rPr>
      </w:pPr>
      <w:r w:rsidRPr="00442D7E">
        <w:rPr>
          <w:color w:val="000000" w:themeColor="text1"/>
        </w:rPr>
        <w:t>2</w:t>
      </w:r>
      <w:r w:rsidRPr="00442D7E">
        <w:rPr>
          <w:color w:val="000000" w:themeColor="text1"/>
          <w:vertAlign w:val="superscript"/>
        </w:rPr>
        <w:t>nd</w:t>
      </w:r>
      <w:r w:rsidRPr="00442D7E">
        <w:rPr>
          <w:color w:val="000000" w:themeColor="text1"/>
        </w:rPr>
        <w:t xml:space="preserve"> Ju</w:t>
      </w:r>
      <w:r>
        <w:rPr>
          <w:color w:val="000000" w:themeColor="text1"/>
        </w:rPr>
        <w:t>ly</w:t>
      </w:r>
      <w:r w:rsidRPr="00442D7E">
        <w:rPr>
          <w:color w:val="000000" w:themeColor="text1"/>
        </w:rPr>
        <w:t xml:space="preserve"> 2018: consultation draft of the revised </w:t>
      </w:r>
      <w:r w:rsidRPr="00442D7E">
        <w:rPr>
          <w:color w:val="000000" w:themeColor="text1"/>
          <w:szCs w:val="19"/>
        </w:rPr>
        <w:t>Statement of Gambling</w:t>
      </w:r>
      <w:r w:rsidRPr="00442D7E">
        <w:rPr>
          <w:color w:val="000000" w:themeColor="text1"/>
        </w:rPr>
        <w:t xml:space="preserve"> </w:t>
      </w:r>
      <w:r w:rsidRPr="00442D7E">
        <w:rPr>
          <w:color w:val="000000" w:themeColor="text1"/>
          <w:szCs w:val="19"/>
        </w:rPr>
        <w:t>Licensing Policy</w:t>
      </w:r>
      <w:r w:rsidRPr="00442D7E">
        <w:rPr>
          <w:color w:val="000000" w:themeColor="text1"/>
        </w:rPr>
        <w:t xml:space="preserve"> approved by Committee,</w:t>
      </w:r>
    </w:p>
    <w:p w:rsidR="00FB2720" w:rsidRPr="00CF1A09" w:rsidRDefault="00FB2720" w:rsidP="00FB2720">
      <w:pPr>
        <w:tabs>
          <w:tab w:val="left" w:pos="1800"/>
        </w:tabs>
        <w:ind w:left="720"/>
        <w:rPr>
          <w:sz w:val="16"/>
          <w:szCs w:val="16"/>
        </w:rPr>
      </w:pPr>
    </w:p>
    <w:p w:rsidR="00FB2720" w:rsidRPr="000D4576" w:rsidRDefault="00FB2720" w:rsidP="00FB2720">
      <w:pPr>
        <w:numPr>
          <w:ilvl w:val="0"/>
          <w:numId w:val="7"/>
        </w:numPr>
        <w:tabs>
          <w:tab w:val="left" w:pos="1800"/>
        </w:tabs>
        <w:ind w:left="1080"/>
      </w:pPr>
      <w:r>
        <w:rPr>
          <w:color w:val="000000" w:themeColor="text1"/>
        </w:rPr>
        <w:t>D</w:t>
      </w:r>
      <w:r w:rsidRPr="00442D7E">
        <w:rPr>
          <w:color w:val="000000" w:themeColor="text1"/>
        </w:rPr>
        <w:t xml:space="preserve">raft </w:t>
      </w:r>
      <w:r w:rsidRPr="00442D7E">
        <w:rPr>
          <w:color w:val="000000" w:themeColor="text1"/>
          <w:szCs w:val="19"/>
        </w:rPr>
        <w:t>Statement of Gambling</w:t>
      </w:r>
      <w:r w:rsidRPr="00442D7E">
        <w:rPr>
          <w:color w:val="000000" w:themeColor="text1"/>
        </w:rPr>
        <w:t xml:space="preserve"> </w:t>
      </w:r>
      <w:r w:rsidRPr="00442D7E">
        <w:rPr>
          <w:color w:val="000000" w:themeColor="text1"/>
          <w:szCs w:val="19"/>
        </w:rPr>
        <w:t>Licensing Policy</w:t>
      </w:r>
      <w:r w:rsidRPr="00442D7E">
        <w:rPr>
          <w:color w:val="000000" w:themeColor="text1"/>
        </w:rPr>
        <w:t xml:space="preserve"> to go for consultation between </w:t>
      </w:r>
      <w:r w:rsidRPr="0030219D">
        <w:rPr>
          <w:color w:val="auto"/>
        </w:rPr>
        <w:t>9</w:t>
      </w:r>
      <w:r w:rsidRPr="0030219D">
        <w:rPr>
          <w:color w:val="auto"/>
          <w:vertAlign w:val="superscript"/>
        </w:rPr>
        <w:t>th</w:t>
      </w:r>
      <w:r w:rsidRPr="0030219D">
        <w:rPr>
          <w:color w:val="auto"/>
        </w:rPr>
        <w:t xml:space="preserve"> July 2018 and </w:t>
      </w:r>
      <w:r w:rsidR="00BB2F95">
        <w:rPr>
          <w:color w:val="auto"/>
        </w:rPr>
        <w:t>24</w:t>
      </w:r>
      <w:r w:rsidRPr="0030219D">
        <w:rPr>
          <w:color w:val="auto"/>
          <w:vertAlign w:val="superscript"/>
        </w:rPr>
        <w:t>th</w:t>
      </w:r>
      <w:r w:rsidRPr="0030219D">
        <w:rPr>
          <w:color w:val="auto"/>
        </w:rPr>
        <w:t xml:space="preserve"> </w:t>
      </w:r>
      <w:r w:rsidR="00BB2F95">
        <w:rPr>
          <w:color w:val="auto"/>
        </w:rPr>
        <w:t>August</w:t>
      </w:r>
      <w:r w:rsidRPr="0030219D">
        <w:rPr>
          <w:color w:val="auto"/>
        </w:rPr>
        <w:t xml:space="preserve"> 2018</w:t>
      </w:r>
      <w:r w:rsidRPr="000D4576">
        <w:t>.</w:t>
      </w:r>
    </w:p>
    <w:p w:rsidR="00FB2720" w:rsidRDefault="00FB2720" w:rsidP="00FB2720">
      <w:pPr>
        <w:tabs>
          <w:tab w:val="left" w:pos="1800"/>
        </w:tabs>
        <w:ind w:left="1080"/>
      </w:pPr>
    </w:p>
    <w:p w:rsidR="00FB2720" w:rsidRPr="000D4576" w:rsidRDefault="00FB2720" w:rsidP="00FB2720">
      <w:pPr>
        <w:numPr>
          <w:ilvl w:val="0"/>
          <w:numId w:val="7"/>
        </w:numPr>
        <w:tabs>
          <w:tab w:val="left" w:pos="1800"/>
        </w:tabs>
        <w:ind w:left="1080"/>
      </w:pPr>
      <w:r>
        <w:t>Agree</w:t>
      </w:r>
      <w:r w:rsidRPr="000D4576">
        <w:t xml:space="preserve"> </w:t>
      </w:r>
      <w:r>
        <w:t xml:space="preserve">the revised </w:t>
      </w:r>
      <w:r w:rsidRPr="000D4576">
        <w:t xml:space="preserve">draft </w:t>
      </w:r>
      <w:r w:rsidRPr="000D4576">
        <w:rPr>
          <w:szCs w:val="19"/>
        </w:rPr>
        <w:t>Statement of Gambling</w:t>
      </w:r>
      <w:r w:rsidRPr="000D4576">
        <w:t xml:space="preserve"> </w:t>
      </w:r>
      <w:r w:rsidRPr="000D4576">
        <w:rPr>
          <w:szCs w:val="19"/>
        </w:rPr>
        <w:t>Licensing Policy</w:t>
      </w:r>
      <w:r w:rsidRPr="000D4576">
        <w:t xml:space="preserve"> to be posted on the Councils website and made available at</w:t>
      </w:r>
      <w:r>
        <w:t xml:space="preserve"> libraries and public buildings.</w:t>
      </w:r>
    </w:p>
    <w:p w:rsidR="00FB2720" w:rsidRPr="000D4576" w:rsidRDefault="00FB2720" w:rsidP="00FB2720">
      <w:pPr>
        <w:tabs>
          <w:tab w:val="left" w:pos="1800"/>
        </w:tabs>
      </w:pPr>
    </w:p>
    <w:p w:rsidR="00FB2720" w:rsidRPr="00ED2695" w:rsidRDefault="00FB2720" w:rsidP="00FB2720">
      <w:pPr>
        <w:numPr>
          <w:ilvl w:val="0"/>
          <w:numId w:val="7"/>
        </w:numPr>
        <w:tabs>
          <w:tab w:val="left" w:pos="1800"/>
        </w:tabs>
        <w:ind w:left="1080"/>
        <w:rPr>
          <w:color w:val="000000" w:themeColor="text1"/>
        </w:rPr>
      </w:pPr>
      <w:r w:rsidRPr="003B1DE5">
        <w:rPr>
          <w:color w:val="auto"/>
        </w:rPr>
        <w:t xml:space="preserve"> An</w:t>
      </w:r>
      <w:r w:rsidRPr="00ED2695">
        <w:rPr>
          <w:color w:val="000000" w:themeColor="text1"/>
        </w:rPr>
        <w:t xml:space="preserve">y relevant consultation responses to be </w:t>
      </w:r>
      <w:r>
        <w:rPr>
          <w:color w:val="000000" w:themeColor="text1"/>
        </w:rPr>
        <w:t xml:space="preserve">reported to </w:t>
      </w:r>
      <w:r w:rsidRPr="00ED2695">
        <w:rPr>
          <w:color w:val="000000" w:themeColor="text1"/>
        </w:rPr>
        <w:t xml:space="preserve">the </w:t>
      </w:r>
      <w:r w:rsidRPr="003B1DE5">
        <w:rPr>
          <w:color w:val="auto"/>
        </w:rPr>
        <w:t>19</w:t>
      </w:r>
      <w:r w:rsidRPr="003B1DE5">
        <w:rPr>
          <w:color w:val="auto"/>
          <w:vertAlign w:val="superscript"/>
        </w:rPr>
        <w:t>th</w:t>
      </w:r>
      <w:r w:rsidRPr="003B1DE5">
        <w:rPr>
          <w:color w:val="auto"/>
        </w:rPr>
        <w:t xml:space="preserve"> September 2018</w:t>
      </w:r>
      <w:r>
        <w:rPr>
          <w:color w:val="auto"/>
        </w:rPr>
        <w:t xml:space="preserve"> meeting of </w:t>
      </w:r>
      <w:r w:rsidRPr="00ED2695">
        <w:rPr>
          <w:color w:val="000000" w:themeColor="text1"/>
        </w:rPr>
        <w:t xml:space="preserve">Licensing and Gambling Acts Committee to consider, and approve the final </w:t>
      </w:r>
      <w:r>
        <w:rPr>
          <w:color w:val="000000" w:themeColor="text1"/>
        </w:rPr>
        <w:t xml:space="preserve">draft </w:t>
      </w:r>
      <w:r w:rsidRPr="00ED2695">
        <w:rPr>
          <w:color w:val="000000" w:themeColor="text1"/>
          <w:szCs w:val="19"/>
        </w:rPr>
        <w:t>Statement of Gambling</w:t>
      </w:r>
      <w:r w:rsidRPr="00ED2695">
        <w:rPr>
          <w:color w:val="000000" w:themeColor="text1"/>
        </w:rPr>
        <w:t xml:space="preserve"> </w:t>
      </w:r>
      <w:r w:rsidRPr="00ED2695">
        <w:rPr>
          <w:color w:val="000000" w:themeColor="text1"/>
          <w:szCs w:val="19"/>
        </w:rPr>
        <w:t>Licensing Policy</w:t>
      </w:r>
      <w:r>
        <w:rPr>
          <w:color w:val="000000" w:themeColor="text1"/>
        </w:rPr>
        <w:t xml:space="preserve"> for recommendation to Council</w:t>
      </w:r>
      <w:r w:rsidRPr="00ED2695">
        <w:rPr>
          <w:color w:val="000000" w:themeColor="text1"/>
        </w:rPr>
        <w:t>.</w:t>
      </w:r>
    </w:p>
    <w:p w:rsidR="00FB2720" w:rsidRPr="0054168D" w:rsidRDefault="00FB2720" w:rsidP="00FB2720">
      <w:pPr>
        <w:tabs>
          <w:tab w:val="left" w:pos="1800"/>
        </w:tabs>
        <w:rPr>
          <w:color w:val="FF0000"/>
          <w:sz w:val="16"/>
          <w:szCs w:val="16"/>
        </w:rPr>
      </w:pPr>
    </w:p>
    <w:p w:rsidR="00FB2720" w:rsidRPr="00ED2695" w:rsidRDefault="00FB2720" w:rsidP="00FB2720">
      <w:pPr>
        <w:numPr>
          <w:ilvl w:val="0"/>
          <w:numId w:val="7"/>
        </w:numPr>
        <w:ind w:left="1080"/>
        <w:rPr>
          <w:color w:val="000000" w:themeColor="text1"/>
        </w:rPr>
      </w:pPr>
      <w:r w:rsidRPr="003B1DE5">
        <w:rPr>
          <w:color w:val="auto"/>
        </w:rPr>
        <w:t>1</w:t>
      </w:r>
      <w:r w:rsidRPr="003B1DE5">
        <w:rPr>
          <w:color w:val="auto"/>
          <w:vertAlign w:val="superscript"/>
        </w:rPr>
        <w:t xml:space="preserve">st </w:t>
      </w:r>
      <w:r w:rsidRPr="003B1DE5">
        <w:rPr>
          <w:color w:val="auto"/>
        </w:rPr>
        <w:t xml:space="preserve">October 2018: </w:t>
      </w:r>
      <w:r w:rsidRPr="00ED2695">
        <w:rPr>
          <w:color w:val="000000" w:themeColor="text1"/>
        </w:rPr>
        <w:t xml:space="preserve"> Council </w:t>
      </w:r>
      <w:r>
        <w:rPr>
          <w:color w:val="000000" w:themeColor="text1"/>
        </w:rPr>
        <w:t xml:space="preserve">to consider </w:t>
      </w:r>
      <w:r w:rsidRPr="00ED2695">
        <w:rPr>
          <w:color w:val="000000" w:themeColor="text1"/>
        </w:rPr>
        <w:t xml:space="preserve">for adoption the </w:t>
      </w:r>
      <w:r>
        <w:rPr>
          <w:color w:val="000000" w:themeColor="text1"/>
        </w:rPr>
        <w:t>approved</w:t>
      </w:r>
      <w:r w:rsidRPr="00ED2695">
        <w:rPr>
          <w:color w:val="000000" w:themeColor="text1"/>
        </w:rPr>
        <w:t xml:space="preserve"> </w:t>
      </w:r>
      <w:r w:rsidRPr="00ED2695">
        <w:rPr>
          <w:color w:val="000000" w:themeColor="text1"/>
          <w:szCs w:val="19"/>
        </w:rPr>
        <w:t>Statement of Gambling</w:t>
      </w:r>
      <w:r w:rsidRPr="00ED2695">
        <w:rPr>
          <w:color w:val="000000" w:themeColor="text1"/>
        </w:rPr>
        <w:t xml:space="preserve"> </w:t>
      </w:r>
      <w:r w:rsidRPr="00ED2695">
        <w:rPr>
          <w:color w:val="000000" w:themeColor="text1"/>
          <w:szCs w:val="19"/>
        </w:rPr>
        <w:t>Licensing Policy</w:t>
      </w:r>
      <w:r w:rsidRPr="00ED2695">
        <w:rPr>
          <w:color w:val="000000" w:themeColor="text1"/>
        </w:rPr>
        <w:t>.</w:t>
      </w:r>
    </w:p>
    <w:p w:rsidR="000E5EAE" w:rsidRDefault="000E5EAE" w:rsidP="000E5EAE">
      <w:pPr>
        <w:rPr>
          <w:szCs w:val="19"/>
        </w:rPr>
      </w:pPr>
    </w:p>
    <w:p w:rsidR="000E5EAE" w:rsidRPr="00C51C82" w:rsidRDefault="000E5EAE" w:rsidP="000E5EAE">
      <w:pPr>
        <w:rPr>
          <w:b/>
          <w:szCs w:val="19"/>
        </w:rPr>
      </w:pPr>
      <w:r w:rsidRPr="00C51C82">
        <w:rPr>
          <w:b/>
          <w:szCs w:val="19"/>
        </w:rPr>
        <w:t>Financial Implications</w:t>
      </w:r>
    </w:p>
    <w:p w:rsidR="000E5EAE" w:rsidRPr="00241236" w:rsidRDefault="000E5EAE" w:rsidP="000E5EAE">
      <w:pPr>
        <w:rPr>
          <w:szCs w:val="19"/>
        </w:rPr>
      </w:pPr>
    </w:p>
    <w:p w:rsidR="000E5EAE" w:rsidRDefault="000E5EAE" w:rsidP="0054168D">
      <w:pPr>
        <w:numPr>
          <w:ilvl w:val="0"/>
          <w:numId w:val="12"/>
        </w:numPr>
        <w:ind w:hanging="720"/>
      </w:pPr>
      <w:r>
        <w:t>Any financial implications regarding this matter are covered within existing budgets.</w:t>
      </w:r>
    </w:p>
    <w:p w:rsidR="000E5EAE" w:rsidRPr="00C51C82" w:rsidRDefault="000E5EAE" w:rsidP="000E5EAE">
      <w:pPr>
        <w:rPr>
          <w:b/>
        </w:rPr>
      </w:pPr>
      <w:r w:rsidRPr="00C51C82">
        <w:rPr>
          <w:b/>
        </w:rPr>
        <w:lastRenderedPageBreak/>
        <w:t>Legal Implications</w:t>
      </w:r>
    </w:p>
    <w:p w:rsidR="000E5EAE" w:rsidRDefault="000E5EAE" w:rsidP="000E5EAE"/>
    <w:p w:rsidR="000E5EAE" w:rsidRDefault="0075494E" w:rsidP="000E5EAE">
      <w:pPr>
        <w:autoSpaceDE w:val="0"/>
        <w:autoSpaceDN w:val="0"/>
        <w:adjustRightInd w:val="0"/>
        <w:rPr>
          <w:rFonts w:cs="Arial"/>
        </w:rPr>
      </w:pPr>
      <w:r>
        <w:t>20</w:t>
      </w:r>
      <w:r w:rsidR="000E5EAE">
        <w:t>.</w:t>
      </w:r>
      <w:r w:rsidR="000E5EAE">
        <w:tab/>
      </w:r>
      <w:r w:rsidR="000E5EAE">
        <w:rPr>
          <w:rFonts w:cs="Arial"/>
        </w:rPr>
        <w:t>Section 349 of the Gambling Act 2005 requires the Licensing Authority to</w:t>
      </w:r>
    </w:p>
    <w:p w:rsidR="000E5EAE" w:rsidRDefault="000E5EAE" w:rsidP="000E5EAE">
      <w:pPr>
        <w:autoSpaceDE w:val="0"/>
        <w:autoSpaceDN w:val="0"/>
        <w:adjustRightInd w:val="0"/>
        <w:ind w:left="720"/>
        <w:rPr>
          <w:rFonts w:cs="Arial"/>
        </w:rPr>
      </w:pPr>
      <w:proofErr w:type="gramStart"/>
      <w:r>
        <w:rPr>
          <w:rFonts w:cs="Arial"/>
        </w:rPr>
        <w:t>prepare</w:t>
      </w:r>
      <w:proofErr w:type="gramEnd"/>
      <w:r>
        <w:rPr>
          <w:rFonts w:cs="Arial"/>
        </w:rPr>
        <w:t xml:space="preserve"> and publish a Statement of Gambling Licensing Policy every 3 years. The next Statement must be published by 31</w:t>
      </w:r>
      <w:r w:rsidRPr="00E705D2">
        <w:rPr>
          <w:rFonts w:cs="Arial"/>
          <w:vertAlign w:val="superscript"/>
        </w:rPr>
        <w:t>st</w:t>
      </w:r>
      <w:r>
        <w:rPr>
          <w:rFonts w:cs="Arial"/>
        </w:rPr>
        <w:t xml:space="preserve"> January 201</w:t>
      </w:r>
      <w:r w:rsidR="0054168D">
        <w:rPr>
          <w:rFonts w:cs="Arial"/>
        </w:rPr>
        <w:t>9</w:t>
      </w:r>
      <w:r>
        <w:rPr>
          <w:rFonts w:cs="Arial"/>
        </w:rPr>
        <w:t>.</w:t>
      </w:r>
    </w:p>
    <w:p w:rsidR="000E5EAE" w:rsidRDefault="000E5EAE" w:rsidP="000E5EAE">
      <w:pPr>
        <w:autoSpaceDE w:val="0"/>
        <w:autoSpaceDN w:val="0"/>
        <w:adjustRightInd w:val="0"/>
        <w:ind w:firstLine="720"/>
        <w:rPr>
          <w:rFonts w:cs="Arial"/>
        </w:rPr>
      </w:pPr>
    </w:p>
    <w:p w:rsidR="0066797E" w:rsidRDefault="000E5EAE" w:rsidP="0075494E">
      <w:pPr>
        <w:numPr>
          <w:ilvl w:val="0"/>
          <w:numId w:val="19"/>
        </w:numPr>
        <w:autoSpaceDE w:val="0"/>
        <w:autoSpaceDN w:val="0"/>
        <w:adjustRightInd w:val="0"/>
        <w:ind w:hanging="720"/>
        <w:rPr>
          <w:rFonts w:cs="Arial"/>
        </w:rPr>
      </w:pPr>
      <w:r>
        <w:rPr>
          <w:rFonts w:cs="Arial"/>
        </w:rPr>
        <w:t>Section 25 of the Gambling Act 2005 requires the Authority to have regard to the Gambling Commission’s Guidance when preparing its Policy.</w:t>
      </w:r>
    </w:p>
    <w:p w:rsidR="0066797E" w:rsidRDefault="0066797E" w:rsidP="0066797E">
      <w:pPr>
        <w:autoSpaceDE w:val="0"/>
        <w:autoSpaceDN w:val="0"/>
        <w:adjustRightInd w:val="0"/>
        <w:ind w:left="720"/>
        <w:rPr>
          <w:rFonts w:cs="Arial"/>
        </w:rPr>
      </w:pPr>
    </w:p>
    <w:p w:rsidR="000E5EAE" w:rsidRPr="0066797E" w:rsidRDefault="0066797E" w:rsidP="0075494E">
      <w:pPr>
        <w:numPr>
          <w:ilvl w:val="0"/>
          <w:numId w:val="19"/>
        </w:numPr>
        <w:autoSpaceDE w:val="0"/>
        <w:autoSpaceDN w:val="0"/>
        <w:adjustRightInd w:val="0"/>
        <w:ind w:hanging="720"/>
        <w:rPr>
          <w:rFonts w:cs="Arial"/>
          <w:bCs/>
          <w:color w:val="auto"/>
        </w:rPr>
      </w:pPr>
      <w:r>
        <w:rPr>
          <w:rFonts w:cs="Arial"/>
        </w:rPr>
        <w:t xml:space="preserve">The </w:t>
      </w:r>
      <w:r w:rsidRPr="00EC7D23">
        <w:rPr>
          <w:rFonts w:cs="Arial"/>
        </w:rPr>
        <w:t>form and procedure for</w:t>
      </w:r>
      <w:r w:rsidRPr="00E8016B">
        <w:rPr>
          <w:rFonts w:cs="Arial"/>
        </w:rPr>
        <w:t xml:space="preserve"> formulating the policy are provided by the </w:t>
      </w:r>
      <w:r w:rsidRPr="00D265BE">
        <w:rPr>
          <w:rFonts w:cs="Arial"/>
          <w:bCs/>
          <w:color w:val="auto"/>
        </w:rPr>
        <w:t>Gambling Act 2005 (Licensing Authority Policy Statement)(England and Wales)</w:t>
      </w:r>
      <w:r>
        <w:rPr>
          <w:rFonts w:cs="Arial"/>
          <w:bCs/>
          <w:color w:val="auto"/>
        </w:rPr>
        <w:t xml:space="preserve"> </w:t>
      </w:r>
      <w:r w:rsidRPr="0066797E">
        <w:rPr>
          <w:rFonts w:cs="Arial"/>
          <w:bCs/>
          <w:color w:val="auto"/>
        </w:rPr>
        <w:t>Regulations 2006/636</w:t>
      </w:r>
    </w:p>
    <w:p w:rsidR="000E5EAE" w:rsidRDefault="000E5EAE" w:rsidP="000E5EAE">
      <w:pPr>
        <w:autoSpaceDE w:val="0"/>
        <w:autoSpaceDN w:val="0"/>
        <w:adjustRightInd w:val="0"/>
        <w:ind w:left="720" w:hanging="720"/>
        <w:rPr>
          <w:rFonts w:cs="Arial"/>
        </w:rPr>
      </w:pPr>
    </w:p>
    <w:p w:rsidR="003303DA" w:rsidRPr="008D6E56" w:rsidRDefault="000E5EAE" w:rsidP="0075494E">
      <w:pPr>
        <w:numPr>
          <w:ilvl w:val="0"/>
          <w:numId w:val="19"/>
        </w:numPr>
        <w:autoSpaceDE w:val="0"/>
        <w:autoSpaceDN w:val="0"/>
        <w:adjustRightInd w:val="0"/>
        <w:ind w:hanging="720"/>
      </w:pPr>
      <w:r>
        <w:t>Any other legal implications relating to the Statement of Gambling Licensing Policy are detailed within the 2005 Ac</w:t>
      </w:r>
      <w:r w:rsidR="006F763D">
        <w:t>t and its reg</w:t>
      </w:r>
      <w:r w:rsidR="0066797E">
        <w:t>ulations.</w:t>
      </w:r>
    </w:p>
    <w:p w:rsidR="00CF15CF" w:rsidRDefault="00CF15CF" w:rsidP="00C12513">
      <w:pPr>
        <w:pStyle w:val="BodyText"/>
        <w:ind w:left="709" w:hanging="709"/>
        <w:rPr>
          <w:b/>
          <w:bCs/>
          <w:szCs w:val="24"/>
          <w:lang w:val="en-GB"/>
        </w:rPr>
      </w:pPr>
    </w:p>
    <w:p w:rsidR="0054168D" w:rsidRPr="00D7425B" w:rsidRDefault="0054168D" w:rsidP="0054168D">
      <w:pPr>
        <w:rPr>
          <w:b/>
        </w:rPr>
      </w:pPr>
      <w:r w:rsidRPr="00D7425B">
        <w:rPr>
          <w:b/>
        </w:rPr>
        <w:t>Recommendations</w:t>
      </w:r>
    </w:p>
    <w:p w:rsidR="0054168D" w:rsidRPr="00D7425B" w:rsidRDefault="0054168D" w:rsidP="0054168D"/>
    <w:p w:rsidR="0054168D" w:rsidRPr="00D7425B" w:rsidRDefault="0054168D" w:rsidP="0075494E">
      <w:pPr>
        <w:numPr>
          <w:ilvl w:val="0"/>
          <w:numId w:val="19"/>
        </w:numPr>
        <w:ind w:hanging="720"/>
      </w:pPr>
      <w:r w:rsidRPr="00D7425B">
        <w:t>The Committee is recommended to:</w:t>
      </w:r>
    </w:p>
    <w:p w:rsidR="0054168D" w:rsidRPr="00D7425B" w:rsidRDefault="0054168D" w:rsidP="0054168D"/>
    <w:p w:rsidR="008D6E56" w:rsidRDefault="008D6E56" w:rsidP="008D6E56">
      <w:pPr>
        <w:numPr>
          <w:ilvl w:val="0"/>
          <w:numId w:val="14"/>
        </w:numPr>
      </w:pPr>
      <w:r>
        <w:t>Agree the draft Statement of Gambling Licensing Policy,</w:t>
      </w:r>
    </w:p>
    <w:p w:rsidR="008D6E56" w:rsidRDefault="008D6E56" w:rsidP="008D6E56">
      <w:pPr>
        <w:ind w:left="720"/>
      </w:pPr>
    </w:p>
    <w:p w:rsidR="008D6E56" w:rsidRDefault="008D6E56" w:rsidP="008D6E56">
      <w:pPr>
        <w:numPr>
          <w:ilvl w:val="0"/>
          <w:numId w:val="14"/>
        </w:numPr>
      </w:pPr>
      <w:r>
        <w:t>Agree that a 6</w:t>
      </w:r>
      <w:r w:rsidRPr="005E0BF4">
        <w:t xml:space="preserve"> week consultation be held on  the  </w:t>
      </w:r>
      <w:r>
        <w:t xml:space="preserve">agreed </w:t>
      </w:r>
      <w:r w:rsidRPr="005E0BF4">
        <w:t>draft Stateme</w:t>
      </w:r>
      <w:r>
        <w:t>nt of Gambling Licensing Policy,</w:t>
      </w:r>
      <w:r w:rsidRPr="005E0BF4">
        <w:t xml:space="preserve"> </w:t>
      </w:r>
    </w:p>
    <w:p w:rsidR="008D6E56" w:rsidRDefault="008D6E56" w:rsidP="008D6E56">
      <w:pPr>
        <w:pStyle w:val="ListParagraph"/>
        <w:numPr>
          <w:ilvl w:val="0"/>
          <w:numId w:val="0"/>
        </w:numPr>
        <w:ind w:left="360"/>
      </w:pPr>
    </w:p>
    <w:p w:rsidR="008D6E56" w:rsidRPr="005E0BF4" w:rsidRDefault="008D6E56" w:rsidP="008D6E56">
      <w:pPr>
        <w:numPr>
          <w:ilvl w:val="0"/>
          <w:numId w:val="14"/>
        </w:numPr>
      </w:pPr>
      <w:r>
        <w:t xml:space="preserve">Agree that any relevant responses to the consultation be reported to the next meeting of the Committee. </w:t>
      </w:r>
    </w:p>
    <w:p w:rsidR="003303DA" w:rsidRDefault="003303DA" w:rsidP="008D6E56">
      <w:pPr>
        <w:pStyle w:val="BodyText"/>
        <w:rPr>
          <w:b/>
          <w:bCs/>
          <w:szCs w:val="24"/>
          <w:lang w:val="en-GB"/>
        </w:rPr>
      </w:pPr>
    </w:p>
    <w:p w:rsidR="0051642D" w:rsidRPr="001356F1" w:rsidRDefault="0051642D"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53C29" w:rsidP="00641C9D">
            <w:r>
              <w:rPr>
                <w:rFonts w:cs="Arial"/>
                <w:b/>
                <w:bCs/>
              </w:rPr>
              <w:t>A</w:t>
            </w:r>
            <w:r w:rsidR="00641C9D">
              <w:rPr>
                <w:rFonts w:cs="Arial"/>
                <w:b/>
                <w:bCs/>
              </w:rPr>
              <w:t>llan P Hibberd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4102E9" w:rsidRDefault="00153C29" w:rsidP="00A46E98">
            <w:pPr>
              <w:rPr>
                <w:rFonts w:cs="Arial"/>
                <w:b/>
                <w:bCs/>
              </w:rPr>
            </w:pPr>
            <w:r>
              <w:rPr>
                <w:rFonts w:cs="Arial"/>
                <w:b/>
                <w:bCs/>
              </w:rPr>
              <w:t xml:space="preserve">Licensing </w:t>
            </w:r>
            <w:r w:rsidR="00641C9D">
              <w:rPr>
                <w:rFonts w:cs="Arial"/>
                <w:b/>
                <w:bCs/>
              </w:rPr>
              <w:t>Officer</w:t>
            </w:r>
          </w:p>
          <w:p w:rsidR="004102E9" w:rsidRPr="001356F1" w:rsidRDefault="004102E9" w:rsidP="00A46E98"/>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102E9" w:rsidP="00A46E98">
            <w:r>
              <w:rPr>
                <w:rFonts w:cs="Arial"/>
                <w:b/>
                <w:bCs/>
              </w:rP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102E9" w:rsidP="00A46E98">
            <w:r w:rsidRPr="008A3C6C">
              <w:rPr>
                <w:rFonts w:cs="Arial"/>
                <w:b/>
                <w:bCs/>
              </w:rPr>
              <w:t>(01865) 252</w:t>
            </w:r>
            <w:r w:rsidR="00153C29">
              <w:rPr>
                <w:rFonts w:cs="Arial"/>
                <w:b/>
                <w:bCs/>
              </w:rPr>
              <w:t>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F5509" w:rsidP="00641C9D">
            <w:pPr>
              <w:rPr>
                <w:rStyle w:val="Hyperlink"/>
                <w:color w:val="000000"/>
              </w:rPr>
            </w:pPr>
            <w:hyperlink r:id="rId9" w:history="1">
              <w:r w:rsidR="00641C9D" w:rsidRPr="000D392D">
                <w:rPr>
                  <w:rStyle w:val="Hyperlink"/>
                  <w:rFonts w:cs="Arial"/>
                  <w:b/>
                  <w:bCs/>
                </w:rPr>
                <w:t>ahibberd@oxford.gov.uk</w:t>
              </w:r>
            </w:hyperlink>
            <w:r w:rsidR="00641C9D">
              <w:rPr>
                <w:rFonts w:cs="Arial"/>
                <w:b/>
                <w:bCs/>
              </w:rPr>
              <w:t xml:space="preserve"> </w:t>
            </w:r>
          </w:p>
        </w:tc>
      </w:tr>
    </w:tbl>
    <w:p w:rsidR="00A4626B" w:rsidRDefault="00A4626B" w:rsidP="0093067A"/>
    <w:p w:rsidR="0054712D" w:rsidRDefault="0054712D" w:rsidP="0093067A"/>
    <w:p w:rsidR="00E62877" w:rsidRPr="009E51FC" w:rsidRDefault="00E62877" w:rsidP="0093067A"/>
    <w:sectPr w:rsidR="00E62877" w:rsidRPr="009E51FC" w:rsidSect="00FB2720">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851"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EA" w:rsidRDefault="009F6DEA" w:rsidP="004A6D2F">
      <w:r>
        <w:separator/>
      </w:r>
    </w:p>
  </w:endnote>
  <w:endnote w:type="continuationSeparator" w:id="0">
    <w:p w:rsidR="009F6DEA" w:rsidRDefault="009F6DE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rsidP="004A6D2F">
    <w:pPr>
      <w:pStyle w:val="Footer"/>
    </w:pPr>
    <w:r>
      <w:t>Do not use a footer or page numbers.</w:t>
    </w:r>
  </w:p>
  <w:p w:rsidR="009F6DEA" w:rsidRDefault="009F6DEA" w:rsidP="004A6D2F">
    <w:pPr>
      <w:pStyle w:val="Footer"/>
    </w:pPr>
  </w:p>
  <w:p w:rsidR="009F6DEA" w:rsidRDefault="009F6DE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9" w:rsidRDefault="005C2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EA" w:rsidRDefault="009F6DEA" w:rsidP="004A6D2F">
      <w:r>
        <w:separator/>
      </w:r>
    </w:p>
  </w:footnote>
  <w:footnote w:type="continuationSeparator" w:id="0">
    <w:p w:rsidR="009F6DEA" w:rsidRDefault="009F6DE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9" w:rsidRDefault="005C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A" w:rsidRDefault="009F6DEA" w:rsidP="00D5547E">
    <w:pPr>
      <w:pStyle w:val="Header"/>
      <w:jc w:val="right"/>
    </w:pPr>
    <w:r>
      <w:rPr>
        <w:noProof/>
      </w:rPr>
      <w:drawing>
        <wp:inline distT="0" distB="0" distL="0" distR="0" wp14:anchorId="1CB85034" wp14:editId="65E98DE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A88668"/>
    <w:lvl w:ilvl="0">
      <w:numFmt w:val="decimal"/>
      <w:lvlText w:val="*"/>
      <w:lvlJc w:val="left"/>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BE6984"/>
    <w:multiLevelType w:val="hybridMultilevel"/>
    <w:tmpl w:val="80829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174E34"/>
    <w:multiLevelType w:val="hybridMultilevel"/>
    <w:tmpl w:val="F2D69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F4D08"/>
    <w:multiLevelType w:val="hybridMultilevel"/>
    <w:tmpl w:val="DBB076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A808FA"/>
    <w:multiLevelType w:val="hybridMultilevel"/>
    <w:tmpl w:val="F13C4D6E"/>
    <w:lvl w:ilvl="0" w:tplc="0409000F">
      <w:start w:val="1"/>
      <w:numFmt w:val="decimal"/>
      <w:lvlText w:val="%1."/>
      <w:lvlJc w:val="left"/>
      <w:pPr>
        <w:tabs>
          <w:tab w:val="num" w:pos="360"/>
        </w:tabs>
        <w:ind w:left="360" w:hanging="360"/>
      </w:pPr>
    </w:lvl>
    <w:lvl w:ilvl="1" w:tplc="FFFFFFFF">
      <w:start w:val="1"/>
      <w:numFmt w:val="bullet"/>
      <w:lvlText w:val=""/>
      <w:legacy w:legacy="1" w:legacySpace="360" w:legacyIndent="283"/>
      <w:lvlJc w:val="left"/>
      <w:pPr>
        <w:ind w:left="1363" w:hanging="283"/>
      </w:pPr>
      <w:rPr>
        <w:rFonts w:ascii="Symbol"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E1540"/>
    <w:multiLevelType w:val="hybridMultilevel"/>
    <w:tmpl w:val="81622C1C"/>
    <w:lvl w:ilvl="0" w:tplc="9752D4C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5F4D26"/>
    <w:multiLevelType w:val="hybridMultilevel"/>
    <w:tmpl w:val="EF0C447C"/>
    <w:lvl w:ilvl="0" w:tplc="BE0A0B2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D86F94"/>
    <w:multiLevelType w:val="hybridMultilevel"/>
    <w:tmpl w:val="A1AA7F12"/>
    <w:lvl w:ilvl="0" w:tplc="35C05152">
      <w:start w:val="1"/>
      <w:numFmt w:val="lowerLetter"/>
      <w:lvlText w:val="%1)"/>
      <w:lvlJc w:val="left"/>
      <w:pPr>
        <w:tabs>
          <w:tab w:val="num" w:pos="360"/>
        </w:tabs>
        <w:ind w:left="360" w:hanging="360"/>
      </w:pPr>
      <w:rPr>
        <w:b w:val="0"/>
      </w:rPr>
    </w:lvl>
    <w:lvl w:ilvl="1" w:tplc="08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C75662F"/>
    <w:multiLevelType w:val="hybridMultilevel"/>
    <w:tmpl w:val="F970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D1942"/>
    <w:multiLevelType w:val="hybridMultilevel"/>
    <w:tmpl w:val="782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C26004"/>
    <w:multiLevelType w:val="hybridMultilevel"/>
    <w:tmpl w:val="8FA42456"/>
    <w:lvl w:ilvl="0" w:tplc="A47A7C5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B02B0D"/>
    <w:multiLevelType w:val="hybridMultilevel"/>
    <w:tmpl w:val="3AE850E6"/>
    <w:lvl w:ilvl="0" w:tplc="4624324E">
      <w:start w:val="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E73194B"/>
    <w:multiLevelType w:val="hybridMultilevel"/>
    <w:tmpl w:val="034E1710"/>
    <w:lvl w:ilvl="0" w:tplc="08090017">
      <w:start w:val="1"/>
      <w:numFmt w:val="lowerLetter"/>
      <w:lvlText w:val="%1)"/>
      <w:lvlJc w:val="left"/>
      <w:pPr>
        <w:tabs>
          <w:tab w:val="num" w:pos="360"/>
        </w:tabs>
        <w:ind w:left="360" w:hanging="360"/>
      </w:pPr>
      <w:rPr>
        <w:b w:val="0"/>
      </w:rPr>
    </w:lvl>
    <w:lvl w:ilvl="1" w:tplc="08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8365C6"/>
    <w:multiLevelType w:val="multilevel"/>
    <w:tmpl w:val="E67CE66C"/>
    <w:numStyleLink w:val="StyleNumberedLeft0cmHanging075cm"/>
  </w:abstractNum>
  <w:num w:numId="1">
    <w:abstractNumId w:val="1"/>
  </w:num>
  <w:num w:numId="2">
    <w:abstractNumId w:val="17"/>
  </w:num>
  <w:num w:numId="3">
    <w:abstractNumId w:val="6"/>
  </w:num>
  <w:num w:numId="4">
    <w:abstractNumId w:val="2"/>
  </w:num>
  <w:num w:numId="5">
    <w:abstractNumId w:val="1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abstractNumId w:val="7"/>
  </w:num>
  <w:num w:numId="9">
    <w:abstractNumId w:val="14"/>
  </w:num>
  <w:num w:numId="10">
    <w:abstractNumId w:val="3"/>
  </w:num>
  <w:num w:numId="11">
    <w:abstractNumId w:val="5"/>
  </w:num>
  <w:num w:numId="12">
    <w:abstractNumId w:val="8"/>
  </w:num>
  <w:num w:numId="13">
    <w:abstractNumId w:val="13"/>
  </w:num>
  <w:num w:numId="14">
    <w:abstractNumId w:val="4"/>
  </w:num>
  <w:num w:numId="15">
    <w:abstractNumId w:val="10"/>
  </w:num>
  <w:num w:numId="16">
    <w:abstractNumId w:val="12"/>
  </w:num>
  <w:num w:numId="17">
    <w:abstractNumId w:val="11"/>
  </w:num>
  <w:num w:numId="18">
    <w:abstractNumId w:val="15"/>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032F5"/>
    <w:rsid w:val="000117D4"/>
    <w:rsid w:val="00015AFD"/>
    <w:rsid w:val="000314D7"/>
    <w:rsid w:val="000342B2"/>
    <w:rsid w:val="00037C60"/>
    <w:rsid w:val="00045F8B"/>
    <w:rsid w:val="00046D2B"/>
    <w:rsid w:val="00056263"/>
    <w:rsid w:val="00064D8A"/>
    <w:rsid w:val="00064F82"/>
    <w:rsid w:val="00066510"/>
    <w:rsid w:val="00074FB1"/>
    <w:rsid w:val="00077523"/>
    <w:rsid w:val="0008030A"/>
    <w:rsid w:val="00085CED"/>
    <w:rsid w:val="000A71B6"/>
    <w:rsid w:val="000B21A8"/>
    <w:rsid w:val="000C089F"/>
    <w:rsid w:val="000C3928"/>
    <w:rsid w:val="000C5E8E"/>
    <w:rsid w:val="000D34E6"/>
    <w:rsid w:val="000E5EAE"/>
    <w:rsid w:val="000F4751"/>
    <w:rsid w:val="00104569"/>
    <w:rsid w:val="0010524C"/>
    <w:rsid w:val="00111FB1"/>
    <w:rsid w:val="00113418"/>
    <w:rsid w:val="001356F1"/>
    <w:rsid w:val="00136994"/>
    <w:rsid w:val="0014128E"/>
    <w:rsid w:val="00151888"/>
    <w:rsid w:val="00153C29"/>
    <w:rsid w:val="001664C3"/>
    <w:rsid w:val="001671B3"/>
    <w:rsid w:val="00170A2D"/>
    <w:rsid w:val="001808BC"/>
    <w:rsid w:val="001810A6"/>
    <w:rsid w:val="00182B81"/>
    <w:rsid w:val="0018619D"/>
    <w:rsid w:val="001A011E"/>
    <w:rsid w:val="001A066A"/>
    <w:rsid w:val="001A13E6"/>
    <w:rsid w:val="001A5731"/>
    <w:rsid w:val="001B42C3"/>
    <w:rsid w:val="001C5D5E"/>
    <w:rsid w:val="001D678D"/>
    <w:rsid w:val="001D7B9D"/>
    <w:rsid w:val="001E03F8"/>
    <w:rsid w:val="001E1678"/>
    <w:rsid w:val="001E3376"/>
    <w:rsid w:val="001F1435"/>
    <w:rsid w:val="001F2181"/>
    <w:rsid w:val="001F2EAF"/>
    <w:rsid w:val="001F3E5B"/>
    <w:rsid w:val="001F5F4D"/>
    <w:rsid w:val="00203782"/>
    <w:rsid w:val="002069B3"/>
    <w:rsid w:val="00222C4D"/>
    <w:rsid w:val="00226073"/>
    <w:rsid w:val="002329CF"/>
    <w:rsid w:val="00232F5B"/>
    <w:rsid w:val="002430E7"/>
    <w:rsid w:val="00246CC3"/>
    <w:rsid w:val="00247C29"/>
    <w:rsid w:val="00260467"/>
    <w:rsid w:val="00261AC3"/>
    <w:rsid w:val="00263EA3"/>
    <w:rsid w:val="0027078A"/>
    <w:rsid w:val="00284F85"/>
    <w:rsid w:val="00290915"/>
    <w:rsid w:val="002924C3"/>
    <w:rsid w:val="00292B06"/>
    <w:rsid w:val="002944BC"/>
    <w:rsid w:val="002A22E2"/>
    <w:rsid w:val="002A6D68"/>
    <w:rsid w:val="002C28AD"/>
    <w:rsid w:val="002C64F7"/>
    <w:rsid w:val="002C654F"/>
    <w:rsid w:val="002E52F7"/>
    <w:rsid w:val="002E59CF"/>
    <w:rsid w:val="002F283D"/>
    <w:rsid w:val="002F41F2"/>
    <w:rsid w:val="00301BF3"/>
    <w:rsid w:val="0030208D"/>
    <w:rsid w:val="0030219D"/>
    <w:rsid w:val="0030523B"/>
    <w:rsid w:val="00323418"/>
    <w:rsid w:val="0032371C"/>
    <w:rsid w:val="0032568C"/>
    <w:rsid w:val="003303DA"/>
    <w:rsid w:val="00330BC4"/>
    <w:rsid w:val="003357BF"/>
    <w:rsid w:val="00342F15"/>
    <w:rsid w:val="003619F4"/>
    <w:rsid w:val="003623A4"/>
    <w:rsid w:val="003642AB"/>
    <w:rsid w:val="00364FAD"/>
    <w:rsid w:val="0036738F"/>
    <w:rsid w:val="0036759C"/>
    <w:rsid w:val="00367AE5"/>
    <w:rsid w:val="00367D71"/>
    <w:rsid w:val="0038150A"/>
    <w:rsid w:val="00387503"/>
    <w:rsid w:val="003903BA"/>
    <w:rsid w:val="00396843"/>
    <w:rsid w:val="003B093C"/>
    <w:rsid w:val="003B1DE5"/>
    <w:rsid w:val="003B6E75"/>
    <w:rsid w:val="003B7DA1"/>
    <w:rsid w:val="003D0379"/>
    <w:rsid w:val="003D0775"/>
    <w:rsid w:val="003D1997"/>
    <w:rsid w:val="003D2574"/>
    <w:rsid w:val="003D36C8"/>
    <w:rsid w:val="003D4C59"/>
    <w:rsid w:val="003E037C"/>
    <w:rsid w:val="003E166F"/>
    <w:rsid w:val="003F0DB9"/>
    <w:rsid w:val="003F4086"/>
    <w:rsid w:val="003F4267"/>
    <w:rsid w:val="00404032"/>
    <w:rsid w:val="0040736F"/>
    <w:rsid w:val="004102E9"/>
    <w:rsid w:val="00412C1F"/>
    <w:rsid w:val="00421CB2"/>
    <w:rsid w:val="00422A47"/>
    <w:rsid w:val="00425972"/>
    <w:rsid w:val="004268B9"/>
    <w:rsid w:val="00433B96"/>
    <w:rsid w:val="00442D7E"/>
    <w:rsid w:val="004440F1"/>
    <w:rsid w:val="004456DD"/>
    <w:rsid w:val="00446CDF"/>
    <w:rsid w:val="00450000"/>
    <w:rsid w:val="004521B7"/>
    <w:rsid w:val="00461BA5"/>
    <w:rsid w:val="00462AB5"/>
    <w:rsid w:val="0046586C"/>
    <w:rsid w:val="00465EAF"/>
    <w:rsid w:val="00465F11"/>
    <w:rsid w:val="00471319"/>
    <w:rsid w:val="004738C5"/>
    <w:rsid w:val="00491046"/>
    <w:rsid w:val="004936D0"/>
    <w:rsid w:val="004A2AC7"/>
    <w:rsid w:val="004A6D2F"/>
    <w:rsid w:val="004B63AF"/>
    <w:rsid w:val="004B7C1E"/>
    <w:rsid w:val="004C2887"/>
    <w:rsid w:val="004D023A"/>
    <w:rsid w:val="004D2626"/>
    <w:rsid w:val="004D481B"/>
    <w:rsid w:val="004D4B82"/>
    <w:rsid w:val="004D65DF"/>
    <w:rsid w:val="004D6E26"/>
    <w:rsid w:val="004D77D3"/>
    <w:rsid w:val="004E2959"/>
    <w:rsid w:val="004F20EF"/>
    <w:rsid w:val="0050321C"/>
    <w:rsid w:val="0051642D"/>
    <w:rsid w:val="0054168D"/>
    <w:rsid w:val="00545F80"/>
    <w:rsid w:val="0054712D"/>
    <w:rsid w:val="00547EF6"/>
    <w:rsid w:val="005570B5"/>
    <w:rsid w:val="00567E18"/>
    <w:rsid w:val="00575F5F"/>
    <w:rsid w:val="00581805"/>
    <w:rsid w:val="00585F76"/>
    <w:rsid w:val="005A34E4"/>
    <w:rsid w:val="005B17F2"/>
    <w:rsid w:val="005B242F"/>
    <w:rsid w:val="005B7FB0"/>
    <w:rsid w:val="005C2E99"/>
    <w:rsid w:val="005C35A5"/>
    <w:rsid w:val="005C577C"/>
    <w:rsid w:val="005D0621"/>
    <w:rsid w:val="005D1177"/>
    <w:rsid w:val="005D1E27"/>
    <w:rsid w:val="005D2A3E"/>
    <w:rsid w:val="005E022E"/>
    <w:rsid w:val="005E41E8"/>
    <w:rsid w:val="005E5215"/>
    <w:rsid w:val="005F7F7E"/>
    <w:rsid w:val="00614693"/>
    <w:rsid w:val="00623C2F"/>
    <w:rsid w:val="00625E03"/>
    <w:rsid w:val="00631EA7"/>
    <w:rsid w:val="00633578"/>
    <w:rsid w:val="006335AC"/>
    <w:rsid w:val="00637068"/>
    <w:rsid w:val="0063731D"/>
    <w:rsid w:val="00641C9D"/>
    <w:rsid w:val="00641E09"/>
    <w:rsid w:val="00650811"/>
    <w:rsid w:val="00661D3E"/>
    <w:rsid w:val="0066797E"/>
    <w:rsid w:val="00690401"/>
    <w:rsid w:val="00692627"/>
    <w:rsid w:val="006969E7"/>
    <w:rsid w:val="006A3643"/>
    <w:rsid w:val="006A5428"/>
    <w:rsid w:val="006A67DD"/>
    <w:rsid w:val="006B1608"/>
    <w:rsid w:val="006C1997"/>
    <w:rsid w:val="006C2A29"/>
    <w:rsid w:val="006C64CF"/>
    <w:rsid w:val="006D17B1"/>
    <w:rsid w:val="006D4752"/>
    <w:rsid w:val="006D708A"/>
    <w:rsid w:val="006D7DAB"/>
    <w:rsid w:val="006E14C1"/>
    <w:rsid w:val="006E6AFA"/>
    <w:rsid w:val="006F0292"/>
    <w:rsid w:val="006F0B19"/>
    <w:rsid w:val="006F27FA"/>
    <w:rsid w:val="006F416B"/>
    <w:rsid w:val="006F519B"/>
    <w:rsid w:val="006F58C2"/>
    <w:rsid w:val="006F763D"/>
    <w:rsid w:val="006F794D"/>
    <w:rsid w:val="00706D42"/>
    <w:rsid w:val="00713675"/>
    <w:rsid w:val="00715823"/>
    <w:rsid w:val="00737B93"/>
    <w:rsid w:val="00744F80"/>
    <w:rsid w:val="00745BF0"/>
    <w:rsid w:val="0075494E"/>
    <w:rsid w:val="007615FE"/>
    <w:rsid w:val="0076655C"/>
    <w:rsid w:val="007742DC"/>
    <w:rsid w:val="007869A7"/>
    <w:rsid w:val="00786EB3"/>
    <w:rsid w:val="00791437"/>
    <w:rsid w:val="0079266F"/>
    <w:rsid w:val="007A6122"/>
    <w:rsid w:val="007B0C2C"/>
    <w:rsid w:val="007B0DD0"/>
    <w:rsid w:val="007B278E"/>
    <w:rsid w:val="007C5C23"/>
    <w:rsid w:val="007D3CCB"/>
    <w:rsid w:val="007D4ADC"/>
    <w:rsid w:val="007E2A26"/>
    <w:rsid w:val="007E3C5A"/>
    <w:rsid w:val="007E7A0D"/>
    <w:rsid w:val="007F2348"/>
    <w:rsid w:val="007F7B4C"/>
    <w:rsid w:val="00803F07"/>
    <w:rsid w:val="0080749A"/>
    <w:rsid w:val="00807E34"/>
    <w:rsid w:val="00813813"/>
    <w:rsid w:val="00821FB8"/>
    <w:rsid w:val="008222DD"/>
    <w:rsid w:val="00822ACD"/>
    <w:rsid w:val="00843A85"/>
    <w:rsid w:val="00855C66"/>
    <w:rsid w:val="0085616B"/>
    <w:rsid w:val="008563DD"/>
    <w:rsid w:val="00867E18"/>
    <w:rsid w:val="00871EE4"/>
    <w:rsid w:val="008724E7"/>
    <w:rsid w:val="008A43AA"/>
    <w:rsid w:val="008B293F"/>
    <w:rsid w:val="008B7371"/>
    <w:rsid w:val="008C085F"/>
    <w:rsid w:val="008C65C1"/>
    <w:rsid w:val="008C68C7"/>
    <w:rsid w:val="008C7073"/>
    <w:rsid w:val="008D3DDB"/>
    <w:rsid w:val="008D6AA7"/>
    <w:rsid w:val="008D6E56"/>
    <w:rsid w:val="008E3E31"/>
    <w:rsid w:val="008F573F"/>
    <w:rsid w:val="009034EC"/>
    <w:rsid w:val="009053AC"/>
    <w:rsid w:val="009062F5"/>
    <w:rsid w:val="00927C5E"/>
    <w:rsid w:val="0093067A"/>
    <w:rsid w:val="0094073B"/>
    <w:rsid w:val="00941C60"/>
    <w:rsid w:val="00941FD1"/>
    <w:rsid w:val="00966D42"/>
    <w:rsid w:val="00971689"/>
    <w:rsid w:val="00973E90"/>
    <w:rsid w:val="00975B07"/>
    <w:rsid w:val="00980420"/>
    <w:rsid w:val="00980B4A"/>
    <w:rsid w:val="00982B76"/>
    <w:rsid w:val="009946B0"/>
    <w:rsid w:val="00996D5C"/>
    <w:rsid w:val="009A5328"/>
    <w:rsid w:val="009C5DAF"/>
    <w:rsid w:val="009C6F52"/>
    <w:rsid w:val="009D7EE8"/>
    <w:rsid w:val="009E3D0A"/>
    <w:rsid w:val="009E51FC"/>
    <w:rsid w:val="009F1D28"/>
    <w:rsid w:val="009F6DEA"/>
    <w:rsid w:val="009F7618"/>
    <w:rsid w:val="00A00458"/>
    <w:rsid w:val="00A01DCD"/>
    <w:rsid w:val="00A04D23"/>
    <w:rsid w:val="00A06766"/>
    <w:rsid w:val="00A07274"/>
    <w:rsid w:val="00A13765"/>
    <w:rsid w:val="00A13A28"/>
    <w:rsid w:val="00A21B12"/>
    <w:rsid w:val="00A23F80"/>
    <w:rsid w:val="00A4626B"/>
    <w:rsid w:val="00A46E98"/>
    <w:rsid w:val="00A512FC"/>
    <w:rsid w:val="00A542F0"/>
    <w:rsid w:val="00A56019"/>
    <w:rsid w:val="00A6352B"/>
    <w:rsid w:val="00A701B5"/>
    <w:rsid w:val="00A714BB"/>
    <w:rsid w:val="00A76360"/>
    <w:rsid w:val="00A77147"/>
    <w:rsid w:val="00A81532"/>
    <w:rsid w:val="00A92D8F"/>
    <w:rsid w:val="00AA4048"/>
    <w:rsid w:val="00AA5212"/>
    <w:rsid w:val="00AA6668"/>
    <w:rsid w:val="00AA73C4"/>
    <w:rsid w:val="00AB1155"/>
    <w:rsid w:val="00AB2988"/>
    <w:rsid w:val="00AB3923"/>
    <w:rsid w:val="00AB7999"/>
    <w:rsid w:val="00AC36C2"/>
    <w:rsid w:val="00AD3292"/>
    <w:rsid w:val="00AD4D8E"/>
    <w:rsid w:val="00AD64C2"/>
    <w:rsid w:val="00AE3910"/>
    <w:rsid w:val="00AE575A"/>
    <w:rsid w:val="00AE7AF0"/>
    <w:rsid w:val="00AF40ED"/>
    <w:rsid w:val="00B03BA3"/>
    <w:rsid w:val="00B500CA"/>
    <w:rsid w:val="00B50801"/>
    <w:rsid w:val="00B52A4C"/>
    <w:rsid w:val="00B54D79"/>
    <w:rsid w:val="00B66DB1"/>
    <w:rsid w:val="00B70719"/>
    <w:rsid w:val="00B8247D"/>
    <w:rsid w:val="00B86314"/>
    <w:rsid w:val="00B87B94"/>
    <w:rsid w:val="00B87FC7"/>
    <w:rsid w:val="00B92730"/>
    <w:rsid w:val="00B9305D"/>
    <w:rsid w:val="00B955A2"/>
    <w:rsid w:val="00BA1C2E"/>
    <w:rsid w:val="00BA39BA"/>
    <w:rsid w:val="00BA44E0"/>
    <w:rsid w:val="00BB2F95"/>
    <w:rsid w:val="00BC200B"/>
    <w:rsid w:val="00BC4756"/>
    <w:rsid w:val="00BC69A4"/>
    <w:rsid w:val="00BE0680"/>
    <w:rsid w:val="00BE2AEC"/>
    <w:rsid w:val="00BE2B3F"/>
    <w:rsid w:val="00BE305F"/>
    <w:rsid w:val="00BE7BA3"/>
    <w:rsid w:val="00BF2275"/>
    <w:rsid w:val="00BF5682"/>
    <w:rsid w:val="00BF7B09"/>
    <w:rsid w:val="00C102CE"/>
    <w:rsid w:val="00C12513"/>
    <w:rsid w:val="00C20A95"/>
    <w:rsid w:val="00C25DA5"/>
    <w:rsid w:val="00C2692F"/>
    <w:rsid w:val="00C3207C"/>
    <w:rsid w:val="00C32DC3"/>
    <w:rsid w:val="00C400E1"/>
    <w:rsid w:val="00C41187"/>
    <w:rsid w:val="00C44BAE"/>
    <w:rsid w:val="00C524AC"/>
    <w:rsid w:val="00C54D10"/>
    <w:rsid w:val="00C60FBE"/>
    <w:rsid w:val="00C63C31"/>
    <w:rsid w:val="00C757A0"/>
    <w:rsid w:val="00C760DE"/>
    <w:rsid w:val="00C82630"/>
    <w:rsid w:val="00C85B4E"/>
    <w:rsid w:val="00C907F7"/>
    <w:rsid w:val="00CA2103"/>
    <w:rsid w:val="00CB6B99"/>
    <w:rsid w:val="00CC466B"/>
    <w:rsid w:val="00CC4DE8"/>
    <w:rsid w:val="00CE4C87"/>
    <w:rsid w:val="00CE544A"/>
    <w:rsid w:val="00CF15CF"/>
    <w:rsid w:val="00D11E1C"/>
    <w:rsid w:val="00D14DA3"/>
    <w:rsid w:val="00D160B0"/>
    <w:rsid w:val="00D17F94"/>
    <w:rsid w:val="00D223FC"/>
    <w:rsid w:val="00D26D1E"/>
    <w:rsid w:val="00D474CF"/>
    <w:rsid w:val="00D53423"/>
    <w:rsid w:val="00D5547E"/>
    <w:rsid w:val="00D57F03"/>
    <w:rsid w:val="00D609AF"/>
    <w:rsid w:val="00D70BFE"/>
    <w:rsid w:val="00D82F41"/>
    <w:rsid w:val="00D85459"/>
    <w:rsid w:val="00D869A1"/>
    <w:rsid w:val="00D87D2C"/>
    <w:rsid w:val="00D91471"/>
    <w:rsid w:val="00DA413F"/>
    <w:rsid w:val="00DA4584"/>
    <w:rsid w:val="00DA614B"/>
    <w:rsid w:val="00DA75A3"/>
    <w:rsid w:val="00DB5E76"/>
    <w:rsid w:val="00DC159B"/>
    <w:rsid w:val="00DC3060"/>
    <w:rsid w:val="00DD425F"/>
    <w:rsid w:val="00DE0FB2"/>
    <w:rsid w:val="00DE1C29"/>
    <w:rsid w:val="00DF093E"/>
    <w:rsid w:val="00E01F42"/>
    <w:rsid w:val="00E051E5"/>
    <w:rsid w:val="00E12F4E"/>
    <w:rsid w:val="00E206D6"/>
    <w:rsid w:val="00E3366E"/>
    <w:rsid w:val="00E41830"/>
    <w:rsid w:val="00E52086"/>
    <w:rsid w:val="00E543A6"/>
    <w:rsid w:val="00E60479"/>
    <w:rsid w:val="00E6088D"/>
    <w:rsid w:val="00E61D73"/>
    <w:rsid w:val="00E62877"/>
    <w:rsid w:val="00E73684"/>
    <w:rsid w:val="00E80717"/>
    <w:rsid w:val="00E818D6"/>
    <w:rsid w:val="00E84F87"/>
    <w:rsid w:val="00E87F7A"/>
    <w:rsid w:val="00E96BD7"/>
    <w:rsid w:val="00EA0DB1"/>
    <w:rsid w:val="00EA0EE9"/>
    <w:rsid w:val="00EB6FC5"/>
    <w:rsid w:val="00ED2695"/>
    <w:rsid w:val="00ED4277"/>
    <w:rsid w:val="00ED52CA"/>
    <w:rsid w:val="00ED5860"/>
    <w:rsid w:val="00EE35C9"/>
    <w:rsid w:val="00F05ECA"/>
    <w:rsid w:val="00F216A7"/>
    <w:rsid w:val="00F3566E"/>
    <w:rsid w:val="00F375FB"/>
    <w:rsid w:val="00F41AC1"/>
    <w:rsid w:val="00F4367A"/>
    <w:rsid w:val="00F445B1"/>
    <w:rsid w:val="00F45CD4"/>
    <w:rsid w:val="00F6511E"/>
    <w:rsid w:val="00F66DCA"/>
    <w:rsid w:val="00F74F53"/>
    <w:rsid w:val="00F75796"/>
    <w:rsid w:val="00F7606D"/>
    <w:rsid w:val="00F81670"/>
    <w:rsid w:val="00F82024"/>
    <w:rsid w:val="00F95BC9"/>
    <w:rsid w:val="00FA624C"/>
    <w:rsid w:val="00FB2720"/>
    <w:rsid w:val="00FB4584"/>
    <w:rsid w:val="00FC2A97"/>
    <w:rsid w:val="00FD0FAC"/>
    <w:rsid w:val="00FD1DFA"/>
    <w:rsid w:val="00FD4966"/>
    <w:rsid w:val="00FE5758"/>
    <w:rsid w:val="00FE57DC"/>
    <w:rsid w:val="00FF32CA"/>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6335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C12513"/>
    <w:pPr>
      <w:widowControl w:val="0"/>
      <w:overflowPunct w:val="0"/>
      <w:autoSpaceDE w:val="0"/>
      <w:autoSpaceDN w:val="0"/>
      <w:adjustRightInd w:val="0"/>
    </w:pPr>
    <w:rPr>
      <w:rFonts w:cs="Arial"/>
      <w:color w:val="auto"/>
      <w:kern w:val="28"/>
      <w:szCs w:val="20"/>
      <w:lang w:val="en-US" w:eastAsia="en-US"/>
    </w:rPr>
  </w:style>
  <w:style w:type="character" w:customStyle="1" w:styleId="BodyTextChar">
    <w:name w:val="Body Text Char"/>
    <w:basedOn w:val="DefaultParagraphFont"/>
    <w:link w:val="BodyText"/>
    <w:rsid w:val="00C12513"/>
    <w:rPr>
      <w:rFonts w:cs="Arial"/>
      <w:kern w:val="28"/>
      <w:sz w:val="24"/>
      <w:lang w:val="en-US" w:eastAsia="en-US"/>
    </w:rPr>
  </w:style>
  <w:style w:type="character" w:customStyle="1" w:styleId="Heading5Char">
    <w:name w:val="Heading 5 Char"/>
    <w:basedOn w:val="DefaultParagraphFont"/>
    <w:link w:val="Heading5"/>
    <w:semiHidden/>
    <w:rsid w:val="006335AC"/>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0E5EAE"/>
    <w:pPr>
      <w:spacing w:after="120" w:line="480" w:lineRule="auto"/>
      <w:ind w:left="283"/>
    </w:pPr>
  </w:style>
  <w:style w:type="character" w:customStyle="1" w:styleId="BodyTextIndent2Char">
    <w:name w:val="Body Text Indent 2 Char"/>
    <w:basedOn w:val="DefaultParagraphFont"/>
    <w:link w:val="BodyTextIndent2"/>
    <w:rsid w:val="000E5EAE"/>
    <w:rPr>
      <w:color w:val="000000"/>
      <w:sz w:val="24"/>
      <w:szCs w:val="24"/>
    </w:rPr>
  </w:style>
  <w:style w:type="paragraph" w:customStyle="1" w:styleId="H4">
    <w:name w:val="H4"/>
    <w:basedOn w:val="Normal"/>
    <w:rsid w:val="000E5EAE"/>
    <w:pPr>
      <w:spacing w:after="120"/>
      <w:ind w:left="1800"/>
    </w:pPr>
    <w:rPr>
      <w:color w:val="auto"/>
      <w:sz w:val="22"/>
      <w:lang w:eastAsia="en-US"/>
    </w:rPr>
  </w:style>
  <w:style w:type="paragraph" w:customStyle="1" w:styleId="Default">
    <w:name w:val="Default"/>
    <w:rsid w:val="002430E7"/>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6335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C12513"/>
    <w:pPr>
      <w:widowControl w:val="0"/>
      <w:overflowPunct w:val="0"/>
      <w:autoSpaceDE w:val="0"/>
      <w:autoSpaceDN w:val="0"/>
      <w:adjustRightInd w:val="0"/>
    </w:pPr>
    <w:rPr>
      <w:rFonts w:cs="Arial"/>
      <w:color w:val="auto"/>
      <w:kern w:val="28"/>
      <w:szCs w:val="20"/>
      <w:lang w:val="en-US" w:eastAsia="en-US"/>
    </w:rPr>
  </w:style>
  <w:style w:type="character" w:customStyle="1" w:styleId="BodyTextChar">
    <w:name w:val="Body Text Char"/>
    <w:basedOn w:val="DefaultParagraphFont"/>
    <w:link w:val="BodyText"/>
    <w:rsid w:val="00C12513"/>
    <w:rPr>
      <w:rFonts w:cs="Arial"/>
      <w:kern w:val="28"/>
      <w:sz w:val="24"/>
      <w:lang w:val="en-US" w:eastAsia="en-US"/>
    </w:rPr>
  </w:style>
  <w:style w:type="character" w:customStyle="1" w:styleId="Heading5Char">
    <w:name w:val="Heading 5 Char"/>
    <w:basedOn w:val="DefaultParagraphFont"/>
    <w:link w:val="Heading5"/>
    <w:semiHidden/>
    <w:rsid w:val="006335AC"/>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0E5EAE"/>
    <w:pPr>
      <w:spacing w:after="120" w:line="480" w:lineRule="auto"/>
      <w:ind w:left="283"/>
    </w:pPr>
  </w:style>
  <w:style w:type="character" w:customStyle="1" w:styleId="BodyTextIndent2Char">
    <w:name w:val="Body Text Indent 2 Char"/>
    <w:basedOn w:val="DefaultParagraphFont"/>
    <w:link w:val="BodyTextIndent2"/>
    <w:rsid w:val="000E5EAE"/>
    <w:rPr>
      <w:color w:val="000000"/>
      <w:sz w:val="24"/>
      <w:szCs w:val="24"/>
    </w:rPr>
  </w:style>
  <w:style w:type="paragraph" w:customStyle="1" w:styleId="H4">
    <w:name w:val="H4"/>
    <w:basedOn w:val="Normal"/>
    <w:rsid w:val="000E5EAE"/>
    <w:pPr>
      <w:spacing w:after="120"/>
      <w:ind w:left="1800"/>
    </w:pPr>
    <w:rPr>
      <w:color w:val="auto"/>
      <w:sz w:val="22"/>
      <w:lang w:eastAsia="en-US"/>
    </w:rPr>
  </w:style>
  <w:style w:type="paragraph" w:customStyle="1" w:styleId="Default">
    <w:name w:val="Default"/>
    <w:rsid w:val="002430E7"/>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ibberd@ox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B1EF-0E0F-455F-8548-6AFDEE4A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8BC0F851</Template>
  <TotalTime>5</TotalTime>
  <Pages>5</Pages>
  <Words>1448</Words>
  <Characters>8089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5</cp:revision>
  <cp:lastPrinted>2015-07-03T13:50:00Z</cp:lastPrinted>
  <dcterms:created xsi:type="dcterms:W3CDTF">2018-06-22T08:34:00Z</dcterms:created>
  <dcterms:modified xsi:type="dcterms:W3CDTF">2018-07-02T09:34:00Z</dcterms:modified>
</cp:coreProperties>
</file>